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BDA9E">
      <w:pPr>
        <w:pStyle w:val="15"/>
        <w:keepNext w:val="0"/>
        <w:keepLines w:val="0"/>
        <w:pageBreakBefore w:val="0"/>
        <w:widowControl/>
        <w:kinsoku/>
        <w:wordWrap/>
        <w:overflowPunct/>
        <w:topLinePunct w:val="0"/>
        <w:autoSpaceDE/>
        <w:autoSpaceDN/>
        <w:bidi w:val="0"/>
        <w:adjustRightInd w:val="0"/>
        <w:snapToGrid w:val="0"/>
        <w:spacing w:line="590" w:lineRule="exact"/>
        <w:textAlignment w:val="auto"/>
      </w:pPr>
      <w:bookmarkStart w:id="0" w:name="681edc348c5c46138d2b52434915fd90"/>
      <w:r>
        <w:rPr>
          <w:rFonts w:hint="eastAsia" w:ascii="方正小标宋_GBK" w:hAnsi="方正小标宋_GBK" w:eastAsia="方正小标宋_GBK" w:cs="方正小标宋_GBK"/>
          <w:b w:val="0"/>
          <w:bCs w:val="0"/>
        </w:rPr>
        <w:t>南湖宾馆灭四害消杀维保服务合同</w:t>
      </w:r>
      <w:bookmarkEnd w:id="0"/>
    </w:p>
    <w:p w14:paraId="641A2F04">
      <w:pPr>
        <w:pStyle w:val="18"/>
        <w:keepNext w:val="0"/>
        <w:keepLines w:val="0"/>
        <w:pageBreakBefore w:val="0"/>
        <w:widowControl/>
        <w:kinsoku/>
        <w:wordWrap/>
        <w:overflowPunct/>
        <w:topLinePunct w:val="0"/>
        <w:autoSpaceDE/>
        <w:autoSpaceDN/>
        <w:bidi w:val="0"/>
        <w:adjustRightInd w:val="0"/>
        <w:snapToGrid w:val="0"/>
        <w:spacing w:before="0" w:after="0" w:line="590" w:lineRule="exact"/>
        <w:ind w:left="0" w:right="0" w:firstLine="64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val="0"/>
          <w:i w:val="0"/>
          <w:spacing w:val="0"/>
          <w:sz w:val="32"/>
          <w:szCs w:val="32"/>
          <w:lang w:val="en-US" w:eastAsia="zh-CN"/>
        </w:rPr>
        <w:t xml:space="preserve"> </w:t>
      </w:r>
    </w:p>
    <w:p w14:paraId="167FA17C">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b w:val="0"/>
          <w:i w:val="0"/>
          <w:sz w:val="32"/>
          <w:szCs w:val="32"/>
        </w:rPr>
        <w:sectPr>
          <w:footerReference r:id="rId3" w:type="default"/>
          <w:pgSz w:w="11900" w:h="16820"/>
          <w:pgMar w:top="1587" w:right="1701" w:bottom="1701" w:left="1701" w:header="840" w:footer="980" w:gutter="0"/>
          <w:pgNumType w:fmt="numberInDash"/>
          <w:cols w:space="720" w:num="1"/>
        </w:sectPr>
      </w:pPr>
      <w:bookmarkStart w:id="1" w:name="0362faed045941cdafbed996130f29e1"/>
    </w:p>
    <w:p w14:paraId="1D416FFA">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 xml:space="preserve">甲方（委托方）： </w:t>
      </w:r>
      <w:bookmarkEnd w:id="1"/>
    </w:p>
    <w:p w14:paraId="0C7B2AC2">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0" w:firstLineChars="0"/>
        <w:textAlignment w:val="auto"/>
        <w:rPr>
          <w:rFonts w:hint="eastAsia" w:ascii="方正仿宋_GBK" w:hAnsi="方正仿宋_GBK" w:eastAsia="方正仿宋_GBK" w:cs="方正仿宋_GBK"/>
          <w:sz w:val="32"/>
          <w:szCs w:val="32"/>
        </w:rPr>
      </w:pPr>
      <w:bookmarkStart w:id="2" w:name="46b11c93e7f248b4b3f367ea2c09c339"/>
      <w:r>
        <w:rPr>
          <w:rFonts w:hint="eastAsia" w:ascii="方正仿宋_GBK" w:hAnsi="方正仿宋_GBK" w:eastAsia="方正仿宋_GBK" w:cs="方正仿宋_GBK"/>
          <w:b w:val="0"/>
          <w:i w:val="0"/>
          <w:sz w:val="32"/>
          <w:szCs w:val="32"/>
        </w:rPr>
        <w:t>统一社会信用代码：</w:t>
      </w:r>
      <w:bookmarkEnd w:id="2"/>
    </w:p>
    <w:p w14:paraId="1E3F31B1">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0" w:firstLineChars="0"/>
        <w:textAlignment w:val="auto"/>
        <w:rPr>
          <w:rFonts w:hint="eastAsia" w:ascii="方正仿宋_GBK" w:hAnsi="方正仿宋_GBK" w:eastAsia="方正仿宋_GBK" w:cs="方正仿宋_GBK"/>
          <w:sz w:val="32"/>
          <w:szCs w:val="32"/>
        </w:rPr>
      </w:pPr>
      <w:bookmarkStart w:id="3" w:name="542be632376c4ababa665311b70d8dd4"/>
      <w:r>
        <w:rPr>
          <w:rFonts w:hint="eastAsia" w:ascii="方正仿宋_GBK" w:hAnsi="方正仿宋_GBK" w:eastAsia="方正仿宋_GBK" w:cs="方正仿宋_GBK"/>
          <w:b w:val="0"/>
          <w:i w:val="0"/>
          <w:sz w:val="32"/>
          <w:szCs w:val="32"/>
        </w:rPr>
        <w:t>法定代表人/负责人：</w:t>
      </w:r>
      <w:bookmarkEnd w:id="3"/>
    </w:p>
    <w:p w14:paraId="3758F995">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0" w:firstLineChars="0"/>
        <w:textAlignment w:val="auto"/>
        <w:rPr>
          <w:rFonts w:hint="eastAsia" w:ascii="方正仿宋_GBK" w:hAnsi="方正仿宋_GBK" w:eastAsia="方正仿宋_GBK" w:cs="方正仿宋_GBK"/>
          <w:sz w:val="32"/>
          <w:szCs w:val="32"/>
        </w:rPr>
      </w:pPr>
      <w:bookmarkStart w:id="4" w:name="80af6c5d2651407db3e369ff6579bc7a"/>
      <w:r>
        <w:rPr>
          <w:rFonts w:hint="eastAsia" w:ascii="方正仿宋_GBK" w:hAnsi="方正仿宋_GBK" w:eastAsia="方正仿宋_GBK" w:cs="方正仿宋_GBK"/>
          <w:b w:val="0"/>
          <w:i w:val="0"/>
          <w:sz w:val="32"/>
          <w:szCs w:val="32"/>
        </w:rPr>
        <w:t>联系电话：</w:t>
      </w:r>
      <w:bookmarkEnd w:id="4"/>
    </w:p>
    <w:p w14:paraId="26DF32EC">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b w:val="0"/>
          <w:i w:val="0"/>
          <w:sz w:val="32"/>
          <w:szCs w:val="32"/>
        </w:rPr>
      </w:pPr>
      <w:bookmarkStart w:id="5" w:name="10ae9b8c451e4e008597a49c0356a2c8"/>
    </w:p>
    <w:p w14:paraId="3F68700F">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 xml:space="preserve">乙方（服务方）： </w:t>
      </w:r>
      <w:bookmarkEnd w:id="5"/>
    </w:p>
    <w:p w14:paraId="70BAD5EA">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b w:val="0"/>
          <w:i w:val="0"/>
          <w:sz w:val="32"/>
          <w:szCs w:val="32"/>
        </w:rPr>
      </w:pPr>
      <w:bookmarkStart w:id="6" w:name="da154fa21e534985a1a24344ca7ea2bb"/>
      <w:r>
        <w:rPr>
          <w:rFonts w:hint="eastAsia" w:ascii="方正仿宋_GBK" w:hAnsi="方正仿宋_GBK" w:eastAsia="方正仿宋_GBK" w:cs="方正仿宋_GBK"/>
          <w:b w:val="0"/>
          <w:i w:val="0"/>
          <w:sz w:val="32"/>
          <w:szCs w:val="32"/>
        </w:rPr>
        <w:t>统一社会信用代码：</w:t>
      </w:r>
      <w:bookmarkEnd w:id="6"/>
      <w:bookmarkStart w:id="7" w:name="5b947d5bbda1450b850a64f8ea2745f7"/>
    </w:p>
    <w:p w14:paraId="728D2107">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法定代表人/负责人：</w:t>
      </w:r>
      <w:bookmarkEnd w:id="7"/>
    </w:p>
    <w:p w14:paraId="6AF56766">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b w:val="0"/>
          <w:i w:val="0"/>
          <w:sz w:val="32"/>
          <w:szCs w:val="32"/>
        </w:rPr>
      </w:pPr>
      <w:bookmarkStart w:id="8" w:name="829f95d0cdc24c43b47a330aa63a2c7a"/>
      <w:r>
        <w:rPr>
          <w:rFonts w:hint="eastAsia" w:ascii="方正仿宋_GBK" w:hAnsi="方正仿宋_GBK" w:eastAsia="方正仿宋_GBK" w:cs="方正仿宋_GBK"/>
          <w:b w:val="0"/>
          <w:i w:val="0"/>
          <w:sz w:val="32"/>
          <w:szCs w:val="32"/>
        </w:rPr>
        <w:t>联系电话：</w:t>
      </w:r>
      <w:bookmarkEnd w:id="8"/>
    </w:p>
    <w:p w14:paraId="79AD4121">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b w:val="0"/>
          <w:i w:val="0"/>
          <w:sz w:val="32"/>
          <w:szCs w:val="32"/>
        </w:rPr>
      </w:pPr>
    </w:p>
    <w:p w14:paraId="3D9E9E4B">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b w:val="0"/>
          <w:i w:val="0"/>
          <w:sz w:val="32"/>
          <w:szCs w:val="32"/>
        </w:rPr>
        <w:sectPr>
          <w:type w:val="continuous"/>
          <w:pgSz w:w="11900" w:h="16820"/>
          <w:pgMar w:top="1701" w:right="1587" w:bottom="1587" w:left="1587" w:header="840" w:footer="981" w:gutter="0"/>
          <w:pgNumType w:fmt="numberInDash"/>
          <w:cols w:equalWidth="0" w:num="2">
            <w:col w:w="4151" w:space="425"/>
            <w:col w:w="4150"/>
          </w:cols>
          <w:rtlGutter w:val="0"/>
          <w:docGrid w:linePitch="0" w:charSpace="0"/>
        </w:sectPr>
      </w:pPr>
      <w:bookmarkStart w:id="9" w:name="3dfbb4f55616472fa52e56c0eae48a5d"/>
    </w:p>
    <w:p w14:paraId="6C77DA1B">
      <w:pPr>
        <w:pStyle w:val="11"/>
        <w:keepNext w:val="0"/>
        <w:keepLines w:val="0"/>
        <w:pageBreakBefore w:val="0"/>
        <w:widowControl/>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鉴于甲方就“南湖宾馆灭四害消杀维保服务项目”进行招标，乙方经法定程序中标。根据《中华人民共和国民法典》及相关法律法规，甲乙双方本着平等、自愿、诚实信用的原则，就乙方为甲方提供灭四害消杀维保服务事宜，达成如下协议，以兹共同遵守。</w:t>
      </w:r>
      <w:bookmarkEnd w:id="9"/>
    </w:p>
    <w:p w14:paraId="3A6A92F8">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10" w:name="112bcc7b6f9b40b3b1dce905c0db0cf2"/>
      <w:r>
        <w:rPr>
          <w:rFonts w:hint="eastAsia" w:ascii="方正黑体_GBK" w:hAnsi="方正黑体_GBK" w:eastAsia="方正黑体_GBK" w:cs="方正黑体_GBK"/>
          <w:b w:val="0"/>
          <w:bCs w:val="0"/>
          <w:sz w:val="32"/>
          <w:szCs w:val="32"/>
        </w:rPr>
        <w:t>服务项目与范围</w:t>
      </w:r>
      <w:bookmarkEnd w:id="10"/>
    </w:p>
    <w:p w14:paraId="1FA51804">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b w:val="0"/>
          <w:bCs w:val="0"/>
          <w:sz w:val="32"/>
          <w:szCs w:val="32"/>
        </w:rPr>
        <w:t>1.</w:t>
      </w:r>
      <w:r>
        <w:rPr>
          <w:rFonts w:hint="eastAsia" w:ascii="方正仿宋_GBK" w:hAnsi="方正仿宋_GBK" w:eastAsia="方正仿宋_GBK" w:cs="方正仿宋_GBK"/>
          <w:b w:val="0"/>
          <w:i w:val="0"/>
          <w:sz w:val="32"/>
          <w:szCs w:val="32"/>
        </w:rPr>
        <w:t>项目名称： 南湖宾馆灭四害消杀维保服务项目。</w:t>
      </w:r>
    </w:p>
    <w:p w14:paraId="5591D4C6">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default" w:ascii="Times New Roman" w:hAnsi="Times New Roman" w:eastAsia="方正仿宋_GBK" w:cs="Times New Roman"/>
          <w:b w:val="0"/>
          <w:bCs w:val="0"/>
          <w:i w:val="0"/>
          <w:sz w:val="32"/>
          <w:szCs w:val="32"/>
        </w:rPr>
        <w:t>2.</w:t>
      </w:r>
      <w:r>
        <w:rPr>
          <w:rFonts w:hint="eastAsia" w:ascii="方正仿宋_GBK" w:hAnsi="方正仿宋_GBK" w:eastAsia="方正仿宋_GBK" w:cs="方正仿宋_GBK"/>
          <w:b w:val="0"/>
          <w:i w:val="0"/>
          <w:sz w:val="32"/>
          <w:szCs w:val="32"/>
        </w:rPr>
        <w:t>服务对象： 针对甲方指定区域内的老鼠、蟑螂、蚊、蝇等有害生物（以下简称“四害”）进行预防性消杀及控制。</w:t>
      </w:r>
    </w:p>
    <w:p w14:paraId="6C245540">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default" w:ascii="Times New Roman" w:hAnsi="Times New Roman" w:eastAsia="方正仿宋_GBK" w:cs="Times New Roman"/>
          <w:b w:val="0"/>
          <w:bCs w:val="0"/>
          <w:i w:val="0"/>
          <w:sz w:val="32"/>
          <w:szCs w:val="32"/>
        </w:rPr>
        <w:t>3.</w:t>
      </w:r>
      <w:r>
        <w:rPr>
          <w:rFonts w:hint="eastAsia" w:ascii="方正仿宋_GBK" w:hAnsi="方正仿宋_GBK" w:eastAsia="方正仿宋_GBK" w:cs="方正仿宋_GBK"/>
          <w:b w:val="0"/>
          <w:i w:val="0"/>
          <w:sz w:val="32"/>
          <w:szCs w:val="32"/>
        </w:rPr>
        <w:t>消杀区域与部位： 按下述区域实施消杀维保，重点区域与部位如下：</w:t>
      </w:r>
    </w:p>
    <w:p w14:paraId="71146C4F">
      <w:pPr>
        <w:pStyle w:val="11"/>
        <w:keepNext w:val="0"/>
        <w:keepLines w:val="0"/>
        <w:pageBreakBefore w:val="0"/>
        <w:widowControl/>
        <w:numPr>
          <w:ilvl w:val="0"/>
          <w:numId w:val="2"/>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eastAsia" w:ascii="方正仿宋_GBK" w:hAnsi="方正仿宋_GBK" w:eastAsia="方正仿宋_GBK" w:cs="方正仿宋_GBK"/>
          <w:b w:val="0"/>
          <w:i w:val="0"/>
          <w:sz w:val="32"/>
          <w:szCs w:val="32"/>
        </w:rPr>
        <w:t>南湖宾馆区域：大堂、公共走道、客房、餐厅、厨房、仓库</w:t>
      </w:r>
      <w:r>
        <w:rPr>
          <w:rFonts w:hint="eastAsia" w:ascii="方正仿宋_GBK" w:hAnsi="方正仿宋_GBK" w:eastAsia="方正仿宋_GBK" w:cs="方正仿宋_GBK"/>
          <w:b w:val="0"/>
          <w:i w:val="0"/>
          <w:sz w:val="32"/>
          <w:szCs w:val="32"/>
          <w:lang w:eastAsia="zh-CN"/>
        </w:rPr>
        <w:t>及庭院外围等</w:t>
      </w:r>
      <w:r>
        <w:rPr>
          <w:rFonts w:hint="eastAsia" w:ascii="方正仿宋_GBK" w:hAnsi="方正仿宋_GBK" w:eastAsia="方正仿宋_GBK" w:cs="方正仿宋_GBK"/>
          <w:b w:val="0"/>
          <w:i w:val="0"/>
          <w:sz w:val="32"/>
          <w:szCs w:val="32"/>
        </w:rPr>
        <w:t>区域；</w:t>
      </w:r>
    </w:p>
    <w:p w14:paraId="7B98032E">
      <w:pPr>
        <w:pStyle w:val="11"/>
        <w:keepNext w:val="0"/>
        <w:keepLines w:val="0"/>
        <w:pageBreakBefore w:val="0"/>
        <w:widowControl/>
        <w:numPr>
          <w:ilvl w:val="0"/>
          <w:numId w:val="2"/>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艾客两门店：门店营业区域、后场区域及门店外围。</w:t>
      </w:r>
    </w:p>
    <w:p w14:paraId="6EAEA9B7">
      <w:pPr>
        <w:pStyle w:val="14"/>
        <w:keepNext w:val="0"/>
        <w:keepLines w:val="0"/>
        <w:widowControl/>
        <w:numPr>
          <w:numId w:val="0"/>
        </w:numPr>
        <w:suppressLineNumbers w:val="0"/>
        <w:tabs>
          <w:tab w:val="left" w:pos="482"/>
        </w:tabs>
        <w:autoSpaceDE w:val="0"/>
        <w:autoSpaceDN/>
        <w:adjustRightInd w:val="0"/>
        <w:snapToGrid w:val="0"/>
        <w:spacing w:before="0" w:beforeAutospacing="1" w:after="120" w:afterAutospacing="0" w:line="590" w:lineRule="exact"/>
        <w:ind w:left="17" w:leftChars="8" w:right="0" w:rightChars="0" w:firstLine="620" w:firstLineChars="194"/>
        <w:jc w:val="left"/>
        <w:rPr>
          <w:rFonts w:hint="eastAsia" w:ascii="方正仿宋_GBK" w:hAnsi="方正仿宋_GBK" w:eastAsia="方正仿宋_GBK" w:cs="方正仿宋_GBK"/>
          <w:sz w:val="32"/>
          <w:szCs w:val="32"/>
        </w:rPr>
      </w:pPr>
      <w:r>
        <w:rPr>
          <w:rFonts w:hint="eastAsia" w:ascii="Times New Roman" w:hAnsi="Times New Roman" w:eastAsia="方正仿宋_GBK" w:cs="方正仿宋_GBK"/>
          <w:b w:val="0"/>
          <w:i w:val="0"/>
          <w:kern w:val="0"/>
          <w:sz w:val="32"/>
          <w:szCs w:val="32"/>
          <w:lang w:val="en-US" w:eastAsia="zh-CN" w:bidi="ar"/>
        </w:rPr>
        <w:t>4</w:t>
      </w:r>
      <w:r>
        <w:rPr>
          <w:rFonts w:hint="eastAsia" w:ascii="方正仿宋_GBK" w:hAnsi="方正仿宋_GBK" w:eastAsia="方正仿宋_GBK" w:cs="方正仿宋_GBK"/>
          <w:b w:val="0"/>
          <w:i w:val="0"/>
          <w:kern w:val="0"/>
          <w:sz w:val="32"/>
          <w:szCs w:val="32"/>
          <w:lang w:val="en-US" w:eastAsia="zh-CN" w:bidi="ar"/>
        </w:rPr>
        <w:t xml:space="preserve">.服务范围与频次： </w:t>
      </w:r>
    </w:p>
    <w:p w14:paraId="693304C3">
      <w:pPr>
        <w:pStyle w:val="14"/>
        <w:keepNext w:val="0"/>
        <w:keepLines w:val="0"/>
        <w:widowControl/>
        <w:numPr>
          <w:ilvl w:val="0"/>
          <w:numId w:val="3"/>
        </w:numPr>
        <w:suppressLineNumbers w:val="0"/>
        <w:tabs>
          <w:tab w:val="left" w:pos="482"/>
        </w:tabs>
        <w:autoSpaceDE w:val="0"/>
        <w:autoSpaceDN/>
        <w:adjustRightInd w:val="0"/>
        <w:snapToGrid w:val="0"/>
        <w:spacing w:before="0" w:beforeAutospacing="1" w:after="120" w:afterAutospacing="0" w:line="590" w:lineRule="exact"/>
        <w:ind w:left="17" w:leftChars="8" w:right="0" w:rightChars="0" w:firstLine="620" w:firstLineChars="194"/>
        <w:jc w:val="left"/>
      </w:pPr>
      <w:r>
        <w:rPr>
          <w:rFonts w:hint="eastAsia" w:ascii="方正仿宋_GBK" w:hAnsi="方正仿宋_GBK" w:eastAsia="方正仿宋_GBK" w:cs="方正仿宋_GBK"/>
          <w:b w:val="0"/>
          <w:i w:val="0"/>
          <w:kern w:val="0"/>
          <w:sz w:val="32"/>
          <w:szCs w:val="32"/>
          <w:lang w:val="en-US" w:eastAsia="zh-CN" w:bidi="ar"/>
        </w:rPr>
        <w:t>南湖宾馆：</w:t>
      </w:r>
      <w:r>
        <w:rPr>
          <w:rFonts w:hint="eastAsia" w:ascii="Times New Roman" w:hAnsi="Times New Roman" w:eastAsia="方正仿宋_GBK" w:cs="方正仿宋_GBK"/>
          <w:b w:val="0"/>
          <w:i w:val="0"/>
          <w:kern w:val="0"/>
          <w:sz w:val="32"/>
          <w:szCs w:val="32"/>
          <w:lang w:val="en-US" w:eastAsia="zh-CN" w:bidi="ar"/>
        </w:rPr>
        <w:t>5</w:t>
      </w:r>
      <w:r>
        <w:rPr>
          <w:rFonts w:hint="eastAsia" w:ascii="方正仿宋_GBK" w:hAnsi="方正仿宋_GBK" w:eastAsia="方正仿宋_GBK" w:cs="方正仿宋_GBK"/>
          <w:b w:val="0"/>
          <w:i w:val="0"/>
          <w:kern w:val="0"/>
          <w:sz w:val="32"/>
          <w:szCs w:val="32"/>
          <w:lang w:val="en-US" w:eastAsia="zh-CN" w:bidi="ar"/>
        </w:rPr>
        <w:t>月至</w:t>
      </w:r>
      <w:r>
        <w:rPr>
          <w:rFonts w:hint="eastAsia" w:ascii="Times New Roman" w:hAnsi="Times New Roman" w:eastAsia="方正仿宋_GBK" w:cs="方正仿宋_GBK"/>
          <w:b w:val="0"/>
          <w:i w:val="0"/>
          <w:kern w:val="0"/>
          <w:sz w:val="32"/>
          <w:szCs w:val="32"/>
          <w:lang w:val="en-US" w:eastAsia="zh-CN" w:bidi="ar"/>
        </w:rPr>
        <w:t>10</w:t>
      </w:r>
      <w:r>
        <w:rPr>
          <w:rFonts w:hint="eastAsia" w:ascii="方正仿宋_GBK" w:hAnsi="方正仿宋_GBK" w:eastAsia="方正仿宋_GBK" w:cs="方正仿宋_GBK"/>
          <w:b w:val="0"/>
          <w:i w:val="0"/>
          <w:kern w:val="0"/>
          <w:sz w:val="32"/>
          <w:szCs w:val="32"/>
          <w:lang w:val="en-US" w:eastAsia="zh-CN" w:bidi="ar"/>
        </w:rPr>
        <w:t xml:space="preserve">月进行 </w:t>
      </w:r>
      <w:r>
        <w:rPr>
          <w:rFonts w:hint="default" w:ascii="Times New Roman" w:hAnsi="Times New Roman" w:eastAsia="方正仿宋_GBK" w:cs="Times New Roman"/>
          <w:b w:val="0"/>
          <w:i w:val="0"/>
          <w:kern w:val="0"/>
          <w:sz w:val="32"/>
          <w:szCs w:val="32"/>
          <w:lang w:val="en-US" w:eastAsia="zh-CN" w:bidi="ar"/>
        </w:rPr>
        <w:t>2</w:t>
      </w:r>
      <w:r>
        <w:rPr>
          <w:rFonts w:hint="eastAsia" w:ascii="方正仿宋_GBK" w:hAnsi="方正仿宋_GBK" w:eastAsia="方正仿宋_GBK" w:cs="方正仿宋_GBK"/>
          <w:b w:val="0"/>
          <w:i w:val="0"/>
          <w:kern w:val="0"/>
          <w:sz w:val="32"/>
          <w:szCs w:val="32"/>
          <w:lang w:val="en-US" w:eastAsia="zh-CN" w:bidi="ar"/>
        </w:rPr>
        <w:t xml:space="preserve"> 次/月消杀维保服务，</w:t>
      </w:r>
      <w:r>
        <w:rPr>
          <w:rFonts w:hint="eastAsia" w:ascii="Times New Roman" w:hAnsi="Times New Roman" w:eastAsia="方正仿宋_GBK" w:cs="方正仿宋_GBK"/>
          <w:b w:val="0"/>
          <w:i w:val="0"/>
          <w:kern w:val="0"/>
          <w:sz w:val="32"/>
          <w:szCs w:val="32"/>
          <w:lang w:val="en-US" w:eastAsia="zh-CN" w:bidi="ar"/>
        </w:rPr>
        <w:t>11</w:t>
      </w:r>
      <w:r>
        <w:rPr>
          <w:rFonts w:hint="eastAsia" w:ascii="方正仿宋_GBK" w:hAnsi="方正仿宋_GBK" w:eastAsia="方正仿宋_GBK" w:cs="方正仿宋_GBK"/>
          <w:b w:val="0"/>
          <w:i w:val="0"/>
          <w:kern w:val="0"/>
          <w:sz w:val="32"/>
          <w:szCs w:val="32"/>
          <w:lang w:val="en-US" w:eastAsia="zh-CN" w:bidi="ar"/>
        </w:rPr>
        <w:t>月至</w:t>
      </w:r>
      <w:r>
        <w:rPr>
          <w:rFonts w:hint="eastAsia" w:ascii="Times New Roman" w:hAnsi="Times New Roman" w:eastAsia="方正仿宋_GBK" w:cs="方正仿宋_GBK"/>
          <w:b w:val="0"/>
          <w:i w:val="0"/>
          <w:kern w:val="0"/>
          <w:sz w:val="32"/>
          <w:szCs w:val="32"/>
          <w:lang w:val="en-US" w:eastAsia="zh-CN" w:bidi="ar"/>
        </w:rPr>
        <w:t>4</w:t>
      </w:r>
      <w:r>
        <w:rPr>
          <w:rFonts w:hint="eastAsia" w:ascii="方正仿宋_GBK" w:hAnsi="方正仿宋_GBK" w:eastAsia="方正仿宋_GBK" w:cs="方正仿宋_GBK"/>
          <w:b w:val="0"/>
          <w:i w:val="0"/>
          <w:kern w:val="0"/>
          <w:sz w:val="32"/>
          <w:szCs w:val="32"/>
          <w:lang w:val="en-US" w:eastAsia="zh-CN" w:bidi="ar"/>
        </w:rPr>
        <w:t>月进行</w:t>
      </w:r>
      <w:r>
        <w:rPr>
          <w:rFonts w:hint="eastAsia" w:ascii="Times New Roman" w:hAnsi="Times New Roman" w:eastAsia="方正仿宋_GBK" w:cs="方正仿宋_GBK"/>
          <w:b w:val="0"/>
          <w:i w:val="0"/>
          <w:kern w:val="0"/>
          <w:sz w:val="32"/>
          <w:szCs w:val="32"/>
          <w:lang w:val="en-US" w:eastAsia="zh-CN" w:bidi="ar"/>
        </w:rPr>
        <w:t>1</w:t>
      </w:r>
      <w:r>
        <w:rPr>
          <w:rFonts w:hint="eastAsia" w:ascii="方正仿宋_GBK" w:hAnsi="方正仿宋_GBK" w:eastAsia="方正仿宋_GBK" w:cs="方正仿宋_GBK"/>
          <w:b w:val="0"/>
          <w:i w:val="0"/>
          <w:kern w:val="0"/>
          <w:sz w:val="32"/>
          <w:szCs w:val="32"/>
          <w:lang w:val="en-US" w:eastAsia="zh-CN" w:bidi="ar"/>
        </w:rPr>
        <w:t>次/月消杀维保服务；</w:t>
      </w:r>
    </w:p>
    <w:p w14:paraId="3A285506">
      <w:pPr>
        <w:pStyle w:val="14"/>
        <w:keepNext w:val="0"/>
        <w:keepLines w:val="0"/>
        <w:widowControl/>
        <w:numPr>
          <w:ilvl w:val="0"/>
          <w:numId w:val="3"/>
        </w:numPr>
        <w:suppressLineNumbers w:val="0"/>
        <w:tabs>
          <w:tab w:val="left" w:pos="482"/>
        </w:tabs>
        <w:autoSpaceDE w:val="0"/>
        <w:autoSpaceDN/>
        <w:adjustRightInd w:val="0"/>
        <w:snapToGrid w:val="0"/>
        <w:spacing w:before="0" w:beforeAutospacing="1" w:after="120" w:afterAutospacing="0" w:line="590" w:lineRule="exact"/>
        <w:ind w:left="17" w:leftChars="8" w:right="0" w:rightChars="0" w:firstLine="620" w:firstLineChars="194"/>
        <w:jc w:val="left"/>
      </w:pPr>
      <w:r>
        <w:rPr>
          <w:rFonts w:hint="eastAsia" w:ascii="方正仿宋_GBK" w:hAnsi="方正仿宋_GBK" w:eastAsia="方正仿宋_GBK" w:cs="方正仿宋_GBK"/>
          <w:b w:val="0"/>
          <w:i w:val="0"/>
          <w:kern w:val="2"/>
          <w:sz w:val="32"/>
          <w:szCs w:val="32"/>
          <w:lang w:val="en-US" w:eastAsia="zh-CN" w:bidi="ar"/>
        </w:rPr>
        <w:t xml:space="preserve">艾客两门店：每月各进行 </w:t>
      </w:r>
      <w:r>
        <w:rPr>
          <w:rFonts w:hint="default" w:ascii="Times New Roman" w:hAnsi="Times New Roman" w:eastAsia="方正仿宋_GBK" w:cs="Times New Roman"/>
          <w:b w:val="0"/>
          <w:i w:val="0"/>
          <w:kern w:val="2"/>
          <w:sz w:val="32"/>
          <w:szCs w:val="32"/>
          <w:lang w:val="en-US" w:eastAsia="zh-CN" w:bidi="ar"/>
        </w:rPr>
        <w:t>1</w:t>
      </w:r>
      <w:r>
        <w:rPr>
          <w:rFonts w:hint="eastAsia" w:ascii="方正仿宋_GBK" w:hAnsi="方正仿宋_GBK" w:eastAsia="方正仿宋_GBK" w:cs="方正仿宋_GBK"/>
          <w:b w:val="0"/>
          <w:i w:val="0"/>
          <w:kern w:val="2"/>
          <w:sz w:val="32"/>
          <w:szCs w:val="32"/>
          <w:lang w:val="en-US" w:eastAsia="zh-CN" w:bidi="ar"/>
        </w:rPr>
        <w:t xml:space="preserve"> 次消杀服务。</w:t>
      </w:r>
    </w:p>
    <w:p w14:paraId="63F652F5">
      <w:pPr>
        <w:pStyle w:val="11"/>
        <w:keepNext w:val="0"/>
        <w:keepLines w:val="0"/>
        <w:pageBreakBefore w:val="0"/>
        <w:widowControl/>
        <w:numPr>
          <w:ilvl w:val="0"/>
          <w:numId w:val="4"/>
        </w:numPr>
        <w:tabs>
          <w:tab w:val="left" w:pos="482"/>
          <w:tab w:val="clear" w:pos="31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eastAsia" w:ascii="方正仿宋_GBK" w:hAnsi="方正仿宋_GBK" w:eastAsia="方正仿宋_GBK" w:cs="方正仿宋_GBK"/>
          <w:b w:val="0"/>
          <w:i w:val="0"/>
          <w:sz w:val="32"/>
          <w:szCs w:val="32"/>
        </w:rPr>
        <w:t>应急服务： 如遇突发虫害或甲方重大接待任务，乙方须在接到甲方通知后</w:t>
      </w:r>
      <w:r>
        <w:rPr>
          <w:rFonts w:hint="eastAsia" w:ascii="Times New Roman" w:hAnsi="Times New Roman" w:eastAsia="方正仿宋_GBK" w:cs="方正仿宋_GBK"/>
          <w:b w:val="0"/>
          <w:i w:val="0"/>
          <w:sz w:val="32"/>
          <w:szCs w:val="32"/>
        </w:rPr>
        <w:t>2</w:t>
      </w:r>
      <w:r>
        <w:rPr>
          <w:rFonts w:hint="eastAsia" w:ascii="方正仿宋_GBK" w:hAnsi="方正仿宋_GBK" w:eastAsia="方正仿宋_GBK" w:cs="方正仿宋_GBK"/>
          <w:b w:val="0"/>
          <w:i w:val="0"/>
          <w:sz w:val="32"/>
          <w:szCs w:val="32"/>
        </w:rPr>
        <w:t>小时内到达现场进行应急突击消杀。</w:t>
      </w:r>
    </w:p>
    <w:p w14:paraId="0FF86477">
      <w:pPr>
        <w:pStyle w:val="11"/>
        <w:keepNext w:val="0"/>
        <w:keepLines w:val="0"/>
        <w:pageBreakBefore w:val="0"/>
        <w:widowControl/>
        <w:numPr>
          <w:ilvl w:val="0"/>
          <w:numId w:val="4"/>
        </w:numPr>
        <w:tabs>
          <w:tab w:val="left" w:pos="482"/>
          <w:tab w:val="clear" w:pos="31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eastAsia" w:ascii="方正仿宋_GBK" w:hAnsi="方正仿宋_GBK" w:eastAsia="方正仿宋_GBK" w:cs="方正仿宋_GBK"/>
          <w:b w:val="0"/>
          <w:i w:val="0"/>
          <w:kern w:val="2"/>
          <w:sz w:val="32"/>
          <w:szCs w:val="32"/>
          <w:lang w:val="en-US" w:eastAsia="zh-CN" w:bidi="ar"/>
        </w:rPr>
        <w:t>消杀重点与时段： 乙方应掌握蚊子、苍蝇、老鼠、蟑螂等有害生物的活动时间规律，明确消杀重点，并针对性地在虫害活动高峰时段及甲方规定的特殊时段（如清场后、夜间、清晨等）组织专业消杀；消杀作业应提前告知甲方，保留必要的作业提前量。</w:t>
      </w:r>
    </w:p>
    <w:p w14:paraId="75A162F7">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11" w:name="5032584bf5274c259650c71ad644f350"/>
      <w:r>
        <w:rPr>
          <w:rFonts w:hint="eastAsia" w:ascii="方正黑体_GBK" w:hAnsi="方正黑体_GBK" w:eastAsia="方正黑体_GBK" w:cs="方正黑体_GBK"/>
          <w:b w:val="0"/>
          <w:bCs w:val="0"/>
          <w:sz w:val="32"/>
          <w:szCs w:val="32"/>
        </w:rPr>
        <w:t>服务期限</w:t>
      </w:r>
      <w:bookmarkEnd w:id="11"/>
    </w:p>
    <w:p w14:paraId="3CD070BE">
      <w:pPr>
        <w:pStyle w:val="11"/>
        <w:keepNext w:val="0"/>
        <w:keepLines w:val="0"/>
        <w:pageBreakBefore w:val="0"/>
        <w:widowControl/>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仿宋_GBK" w:hAnsi="方正仿宋_GBK" w:eastAsia="方正仿宋_GBK" w:cs="方正仿宋_GBK"/>
          <w:sz w:val="32"/>
          <w:szCs w:val="32"/>
        </w:rPr>
      </w:pPr>
      <w:bookmarkStart w:id="12" w:name="3529268d377d43c994904d377384e19b"/>
      <w:r>
        <w:rPr>
          <w:rFonts w:hint="eastAsia" w:ascii="方正仿宋_GBK" w:hAnsi="方正仿宋_GBK" w:eastAsia="方正仿宋_GBK" w:cs="方正仿宋_GBK"/>
          <w:b w:val="0"/>
          <w:i w:val="0"/>
          <w:sz w:val="32"/>
          <w:szCs w:val="32"/>
        </w:rPr>
        <w:t>本合同服务期限为</w:t>
      </w:r>
      <w:r>
        <w:rPr>
          <w:rFonts w:hint="eastAsia" w:ascii="方正仿宋_GBK" w:hAnsi="方正仿宋_GBK" w:eastAsia="方正仿宋_GBK" w:cs="方正仿宋_GBK"/>
          <w:b w:val="0"/>
          <w:i w:val="0"/>
          <w:sz w:val="32"/>
          <w:szCs w:val="32"/>
          <w:lang w:eastAsia="zh-CN"/>
        </w:rPr>
        <w:t>壹</w:t>
      </w:r>
      <w:r>
        <w:rPr>
          <w:rFonts w:hint="eastAsia" w:ascii="方正仿宋_GBK" w:hAnsi="方正仿宋_GBK" w:eastAsia="方正仿宋_GBK" w:cs="方正仿宋_GBK"/>
          <w:b w:val="0"/>
          <w:i w:val="0"/>
          <w:sz w:val="32"/>
          <w:szCs w:val="32"/>
        </w:rPr>
        <w:t>年，自</w:t>
      </w:r>
      <w:r>
        <w:rPr>
          <w:rFonts w:hint="eastAsia" w:ascii="Times New Roman" w:hAnsi="Times New Roman" w:eastAsia="方正仿宋_GBK" w:cs="方正仿宋_GBK"/>
          <w:b w:val="0"/>
          <w:i w:val="0"/>
          <w:sz w:val="32"/>
          <w:szCs w:val="32"/>
        </w:rPr>
        <w:t>202</w:t>
      </w:r>
      <w:r>
        <w:rPr>
          <w:rFonts w:hint="eastAsia" w:ascii="方正仿宋_GBK" w:hAnsi="方正仿宋_GBK" w:eastAsia="方正仿宋_GBK" w:cs="方正仿宋_GBK"/>
          <w:b w:val="0"/>
          <w:i w:val="0"/>
          <w:sz w:val="32"/>
          <w:szCs w:val="32"/>
        </w:rPr>
        <w:t>_年__月__日起至</w:t>
      </w:r>
      <w:r>
        <w:rPr>
          <w:rFonts w:hint="eastAsia" w:ascii="Times New Roman" w:hAnsi="Times New Roman" w:eastAsia="方正仿宋_GBK" w:cs="方正仿宋_GBK"/>
          <w:b w:val="0"/>
          <w:i w:val="0"/>
          <w:sz w:val="32"/>
          <w:szCs w:val="32"/>
        </w:rPr>
        <w:t>202</w:t>
      </w:r>
      <w:r>
        <w:rPr>
          <w:rFonts w:hint="eastAsia" w:ascii="方正仿宋_GBK" w:hAnsi="方正仿宋_GBK" w:eastAsia="方正仿宋_GBK" w:cs="方正仿宋_GBK"/>
          <w:b w:val="0"/>
          <w:i w:val="0"/>
          <w:sz w:val="32"/>
          <w:szCs w:val="32"/>
        </w:rPr>
        <w:t>_年__月__日止。合同期满前</w:t>
      </w:r>
      <w:r>
        <w:rPr>
          <w:rFonts w:hint="eastAsia" w:ascii="Times New Roman" w:hAnsi="Times New Roman" w:eastAsia="方正仿宋_GBK" w:cs="方正仿宋_GBK"/>
          <w:b w:val="0"/>
          <w:i w:val="0"/>
          <w:sz w:val="32"/>
          <w:szCs w:val="32"/>
        </w:rPr>
        <w:t>30</w:t>
      </w:r>
      <w:r>
        <w:rPr>
          <w:rFonts w:hint="eastAsia" w:ascii="方正仿宋_GBK" w:hAnsi="方正仿宋_GBK" w:eastAsia="方正仿宋_GBK" w:cs="方正仿宋_GBK"/>
          <w:b w:val="0"/>
          <w:i w:val="0"/>
          <w:sz w:val="32"/>
          <w:szCs w:val="32"/>
        </w:rPr>
        <w:t>日，双方可协商续签事宜。</w:t>
      </w:r>
      <w:bookmarkEnd w:id="12"/>
    </w:p>
    <w:p w14:paraId="0C45C266">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13" w:name="7651a8949ff046baa202967999faaaa9"/>
      <w:r>
        <w:rPr>
          <w:rFonts w:hint="eastAsia" w:ascii="方正黑体_GBK" w:hAnsi="方正黑体_GBK" w:eastAsia="方正黑体_GBK" w:cs="方正黑体_GBK"/>
          <w:b w:val="0"/>
          <w:bCs w:val="0"/>
          <w:sz w:val="32"/>
          <w:szCs w:val="32"/>
        </w:rPr>
        <w:t>服务费用及支付方式</w:t>
      </w:r>
      <w:bookmarkEnd w:id="13"/>
    </w:p>
    <w:p w14:paraId="696EAE78">
      <w:pPr>
        <w:pStyle w:val="11"/>
        <w:keepNext w:val="0"/>
        <w:keepLines w:val="0"/>
        <w:pageBreakBefore w:val="0"/>
        <w:widowControl/>
        <w:numPr>
          <w:ilvl w:val="0"/>
          <w:numId w:val="5"/>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合同总价： 本项目服务费用为固定总价，金额为人民币（大写）______________元整（¥_____）。该费用为包干价，已包含乙方完成本合同约定服务所需的人工费、药剂费、器械折旧及租赁费、交通费、税费、人员意外保险等一切相关费用，甲方无需另行支付其他任何费用。</w:t>
      </w:r>
    </w:p>
    <w:p w14:paraId="4DCE9338">
      <w:pPr>
        <w:pStyle w:val="11"/>
        <w:keepNext w:val="0"/>
        <w:keepLines w:val="0"/>
        <w:pageBreakBefore w:val="0"/>
        <w:widowControl/>
        <w:numPr>
          <w:ilvl w:val="0"/>
          <w:numId w:val="5"/>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lang w:val="en-US" w:eastAsia="zh-CN"/>
        </w:rPr>
        <w:t xml:space="preserve"> </w:t>
      </w:r>
      <w:r>
        <w:rPr>
          <w:rFonts w:hint="eastAsia" w:ascii="方正仿宋_GBK" w:hAnsi="方正仿宋_GBK" w:eastAsia="方正仿宋_GBK" w:cs="方正仿宋_GBK"/>
          <w:b w:val="0"/>
          <w:i w:val="0"/>
          <w:sz w:val="32"/>
          <w:szCs w:val="32"/>
        </w:rPr>
        <w:t xml:space="preserve">结算周期： </w:t>
      </w:r>
      <w:r>
        <w:rPr>
          <w:rFonts w:hint="eastAsia" w:ascii="方正仿宋_GBK" w:hAnsi="方正仿宋_GBK" w:eastAsia="方正仿宋_GBK" w:cs="方正仿宋_GBK"/>
          <w:b w:val="0"/>
          <w:i w:val="0"/>
          <w:sz w:val="32"/>
          <w:szCs w:val="32"/>
          <w:lang w:eastAsia="zh-CN"/>
        </w:rPr>
        <w:t>每</w:t>
      </w:r>
      <w:r>
        <w:rPr>
          <w:rFonts w:hint="eastAsia" w:ascii="方正仿宋_GBK" w:hAnsi="方正仿宋_GBK" w:eastAsia="方正仿宋_GBK" w:cs="方正仿宋_GBK"/>
          <w:b w:val="0"/>
          <w:i w:val="0"/>
          <w:sz w:val="32"/>
          <w:szCs w:val="32"/>
        </w:rPr>
        <w:t>半年结算。</w:t>
      </w:r>
    </w:p>
    <w:p w14:paraId="43B4C2E7">
      <w:pPr>
        <w:pStyle w:val="11"/>
        <w:keepNext w:val="0"/>
        <w:keepLines w:val="0"/>
        <w:pageBreakBefore w:val="0"/>
        <w:widowControl/>
        <w:numPr>
          <w:ilvl w:val="0"/>
          <w:numId w:val="5"/>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结算凭证与</w:t>
      </w:r>
      <w:r>
        <w:rPr>
          <w:rFonts w:hint="eastAsia" w:ascii="方正仿宋_GBK" w:hAnsi="方正仿宋_GBK" w:eastAsia="方正仿宋_GBK" w:cs="方正仿宋_GBK"/>
          <w:b w:val="0"/>
          <w:i w:val="0"/>
          <w:sz w:val="32"/>
          <w:szCs w:val="32"/>
          <w:lang w:eastAsia="zh-CN"/>
        </w:rPr>
        <w:t>付款方式</w:t>
      </w:r>
      <w:r>
        <w:rPr>
          <w:rFonts w:hint="eastAsia" w:ascii="方正仿宋_GBK" w:hAnsi="方正仿宋_GBK" w:eastAsia="方正仿宋_GBK" w:cs="方正仿宋_GBK"/>
          <w:b w:val="0"/>
          <w:i w:val="0"/>
          <w:sz w:val="32"/>
          <w:szCs w:val="32"/>
        </w:rPr>
        <w:t>： 乙方须以提供经乙方盖章确认的《病媒生物消杀记录单》作为服务履约及结算依据。</w:t>
      </w:r>
      <w:r>
        <w:rPr>
          <w:rFonts w:hint="eastAsia" w:ascii="方正仿宋_GBK" w:hAnsi="方正仿宋_GBK" w:eastAsia="方正仿宋_GBK" w:cs="方正仿宋_GBK"/>
          <w:b w:val="0"/>
          <w:i w:val="0"/>
          <w:sz w:val="32"/>
          <w:szCs w:val="32"/>
          <w:lang w:eastAsia="zh-CN"/>
        </w:rPr>
        <w:t>合同期内分两次支付费用，每半年支付服务费</w:t>
      </w:r>
      <w:r>
        <w:rPr>
          <w:rFonts w:hint="eastAsia" w:ascii="方正仿宋_GBK" w:hAnsi="方正仿宋_GBK" w:eastAsia="方正仿宋_GBK" w:cs="方正仿宋_GBK"/>
          <w:b w:val="0"/>
          <w:i w:val="0"/>
          <w:sz w:val="32"/>
          <w:szCs w:val="32"/>
          <w:lang w:val="en-US" w:eastAsia="zh-CN"/>
        </w:rPr>
        <w:t xml:space="preserve">        元，每月消杀控制在爱卫会规定的范围内，乙方的治理工作达到爱卫会的规范要求，半年后的次月</w:t>
      </w:r>
      <w:r>
        <w:rPr>
          <w:rFonts w:hint="eastAsia" w:ascii="Times New Roman" w:hAnsi="Times New Roman" w:eastAsia="方正仿宋_GBK" w:cs="方正仿宋_GBK"/>
          <w:b w:val="0"/>
          <w:i w:val="0"/>
          <w:sz w:val="32"/>
          <w:szCs w:val="32"/>
          <w:lang w:val="en-US" w:eastAsia="zh-CN"/>
        </w:rPr>
        <w:t>5</w:t>
      </w:r>
      <w:r>
        <w:rPr>
          <w:rFonts w:hint="eastAsia" w:ascii="方正仿宋_GBK" w:hAnsi="方正仿宋_GBK" w:eastAsia="方正仿宋_GBK" w:cs="方正仿宋_GBK"/>
          <w:b w:val="0"/>
          <w:i w:val="0"/>
          <w:sz w:val="32"/>
          <w:szCs w:val="32"/>
          <w:lang w:val="en-US" w:eastAsia="zh-CN"/>
        </w:rPr>
        <w:t>日前向甲方提供   %增值税专用发票，甲方在</w:t>
      </w:r>
      <w:r>
        <w:rPr>
          <w:rFonts w:hint="eastAsia" w:ascii="Times New Roman" w:hAnsi="Times New Roman" w:eastAsia="方正仿宋_GBK" w:cs="方正仿宋_GBK"/>
          <w:b w:val="0"/>
          <w:i w:val="0"/>
          <w:sz w:val="32"/>
          <w:szCs w:val="32"/>
          <w:lang w:val="en-US" w:eastAsia="zh-CN"/>
        </w:rPr>
        <w:t>15</w:t>
      </w:r>
      <w:r>
        <w:rPr>
          <w:rFonts w:hint="eastAsia" w:ascii="方正仿宋_GBK" w:hAnsi="方正仿宋_GBK" w:eastAsia="方正仿宋_GBK" w:cs="方正仿宋_GBK"/>
          <w:b w:val="0"/>
          <w:i w:val="0"/>
          <w:sz w:val="32"/>
          <w:szCs w:val="32"/>
          <w:lang w:val="en-US" w:eastAsia="zh-CN"/>
        </w:rPr>
        <w:t>个工作日内支付。</w:t>
      </w:r>
    </w:p>
    <w:p w14:paraId="4A67E9A3">
      <w:pPr>
        <w:pStyle w:val="11"/>
        <w:keepNext w:val="0"/>
        <w:keepLines w:val="0"/>
        <w:pageBreakBefore w:val="0"/>
        <w:widowControl/>
        <w:numPr>
          <w:ilvl w:val="0"/>
          <w:numId w:val="5"/>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乙方收款账户信息：
</w:t>
      </w:r>
    </w:p>
    <w:p w14:paraId="20EB2BC4">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eastAsia" w:ascii="方正仿宋_GBK" w:hAnsi="方正仿宋_GBK" w:eastAsia="方正仿宋_GBK" w:cs="方正仿宋_GBK"/>
          <w:b w:val="0"/>
          <w:i w:val="0"/>
          <w:sz w:val="32"/>
          <w:szCs w:val="32"/>
        </w:rPr>
        <w:t>开户名称：________________________
</w:t>
      </w:r>
    </w:p>
    <w:p w14:paraId="5E510B14">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b w:val="0"/>
          <w:i w:val="0"/>
          <w:sz w:val="32"/>
          <w:szCs w:val="32"/>
        </w:rPr>
      </w:pPr>
      <w:r>
        <w:rPr>
          <w:rFonts w:hint="eastAsia" w:ascii="方正仿宋_GBK" w:hAnsi="方正仿宋_GBK" w:eastAsia="方正仿宋_GBK" w:cs="方正仿宋_GBK"/>
          <w:b w:val="0"/>
          <w:i w:val="0"/>
          <w:sz w:val="32"/>
          <w:szCs w:val="32"/>
        </w:rPr>
        <w:t>开户银行：________________________
</w:t>
      </w:r>
    </w:p>
    <w:p w14:paraId="24251635">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银行账号：________________________</w:t>
      </w:r>
    </w:p>
    <w:p w14:paraId="60F248B0">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14" w:name="59c6d66922b64b0aa297539f7d660cce"/>
      <w:r>
        <w:rPr>
          <w:rFonts w:hint="eastAsia" w:ascii="方正黑体_GBK" w:hAnsi="方正黑体_GBK" w:eastAsia="方正黑体_GBK" w:cs="方正黑体_GBK"/>
          <w:b w:val="0"/>
          <w:bCs w:val="0"/>
          <w:sz w:val="32"/>
          <w:szCs w:val="32"/>
        </w:rPr>
        <w:t>服务标准与要求</w:t>
      </w:r>
      <w:bookmarkEnd w:id="14"/>
    </w:p>
    <w:p w14:paraId="1B18C182">
      <w:pPr>
        <w:pStyle w:val="11"/>
        <w:keepNext w:val="0"/>
        <w:keepLines w:val="0"/>
        <w:pageBreakBefore w:val="0"/>
        <w:widowControl/>
        <w:numPr>
          <w:ilvl w:val="0"/>
          <w:numId w:val="6"/>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资质与人员： 乙方须保证具备履行本合同所需的有害生物防制资质。乙方派驻甲方的项目负责人须具备职业资格证书，现场服务人员须</w:t>
      </w:r>
      <w:r>
        <w:rPr>
          <w:rFonts w:hint="eastAsia" w:ascii="方正仿宋_GBK" w:hAnsi="方正仿宋_GBK" w:eastAsia="方正仿宋_GBK" w:cs="方正仿宋_GBK"/>
          <w:b w:val="0"/>
          <w:i w:val="0"/>
          <w:sz w:val="32"/>
          <w:szCs w:val="32"/>
          <w:lang w:eastAsia="zh-CN"/>
        </w:rPr>
        <w:t>符合甲方对于工作人员仪容仪表整洁要求，严格遵守甲方规定的制度，且</w:t>
      </w:r>
      <w:r>
        <w:rPr>
          <w:rFonts w:hint="eastAsia" w:ascii="方正仿宋_GBK" w:hAnsi="方正仿宋_GBK" w:eastAsia="方正仿宋_GBK" w:cs="方正仿宋_GBK"/>
          <w:b w:val="0"/>
          <w:i w:val="0"/>
          <w:sz w:val="32"/>
          <w:szCs w:val="32"/>
        </w:rPr>
        <w:t>持有有效有害生物防制员职业资格证书。未经甲方书面同意，乙方不得随意更换项目负责人及核心服务人员。</w:t>
      </w:r>
    </w:p>
    <w:p w14:paraId="4035F11A">
      <w:pPr>
        <w:pStyle w:val="11"/>
        <w:keepNext w:val="0"/>
        <w:keepLines w:val="0"/>
        <w:pageBreakBefore w:val="0"/>
        <w:widowControl/>
        <w:numPr>
          <w:ilvl w:val="0"/>
          <w:numId w:val="6"/>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药剂与器械： 乙方所使用的消杀药剂必须符合国家环保及安全标准，具备“三证”（农药登记证、生产许可证、产品执行标准证），严禁使用国家明令禁止或淘汰的剧毒、高毒药品</w:t>
      </w:r>
      <w:r>
        <w:rPr>
          <w:rFonts w:hint="eastAsia" w:ascii="方正仿宋_GBK" w:hAnsi="方正仿宋_GBK" w:eastAsia="方正仿宋_GBK" w:cs="方正仿宋_GBK"/>
          <w:b w:val="0"/>
          <w:i w:val="0"/>
          <w:sz w:val="32"/>
          <w:szCs w:val="32"/>
          <w:lang w:eastAsia="zh-CN"/>
        </w:rPr>
        <w:t>，一旦发生相关负面事件，经查明是因乙方药品使用和操作不当引起的，由乙方负责</w:t>
      </w:r>
      <w:r>
        <w:rPr>
          <w:rFonts w:hint="eastAsia" w:ascii="方正仿宋_GBK" w:hAnsi="方正仿宋_GBK" w:eastAsia="方正仿宋_GBK" w:cs="方正仿宋_GBK"/>
          <w:b w:val="0"/>
          <w:i w:val="0"/>
          <w:sz w:val="32"/>
          <w:szCs w:val="32"/>
        </w:rPr>
        <w:t>。乙方应建立药剂使用台账，每次服务后如实填写《病媒生物消杀记录单》。</w:t>
      </w:r>
    </w:p>
    <w:p w14:paraId="1AD97C8A">
      <w:pPr>
        <w:pStyle w:val="11"/>
        <w:keepNext w:val="0"/>
        <w:keepLines w:val="0"/>
        <w:pageBreakBefore w:val="0"/>
        <w:widowControl/>
        <w:numPr>
          <w:ilvl w:val="0"/>
          <w:numId w:val="6"/>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安全与环保： 乙方在服务过程中应严格遵守甲方的安全管理规定，采取必要的防护措施，防止交叉污染。因乙方操作不当或药剂问题导致甲方人员伤亡、财产损失或食品安全事故的，由乙方承担全部法律及赔偿责任。</w:t>
      </w:r>
    </w:p>
    <w:p w14:paraId="5F12021A">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15" w:name="2684c0feff034aea9ed2b1f2833967b7"/>
      <w:r>
        <w:rPr>
          <w:rFonts w:hint="eastAsia" w:ascii="方正黑体_GBK" w:hAnsi="方正黑体_GBK" w:eastAsia="方正黑体_GBK" w:cs="方正黑体_GBK"/>
          <w:b w:val="0"/>
          <w:bCs w:val="0"/>
          <w:sz w:val="32"/>
          <w:szCs w:val="32"/>
        </w:rPr>
        <w:t>双方权利与义务</w:t>
      </w:r>
      <w:bookmarkEnd w:id="15"/>
    </w:p>
    <w:p w14:paraId="7BA65234">
      <w:pPr>
        <w:pStyle w:val="3"/>
        <w:keepNext w:val="0"/>
        <w:keepLines w:val="0"/>
        <w:pageBreakBefore w:val="0"/>
        <w:widowControl/>
        <w:numPr>
          <w:ilvl w:val="0"/>
          <w:numId w:val="7"/>
        </w:numPr>
        <w:tabs>
          <w:tab w:val="left" w:pos="641"/>
        </w:tabs>
        <w:kinsoku/>
        <w:wordWrap/>
        <w:overflowPunct/>
        <w:topLinePunct w:val="0"/>
        <w:autoSpaceDE/>
        <w:autoSpaceDN/>
        <w:bidi w:val="0"/>
        <w:adjustRightInd w:val="0"/>
        <w:snapToGrid w:val="0"/>
        <w:spacing w:line="590" w:lineRule="exact"/>
        <w:ind w:left="17" w:leftChars="8" w:firstLine="623"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甲方权利与义务：</w:t>
      </w:r>
    </w:p>
    <w:p w14:paraId="19A31AFF">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16" w:name="e0c4550e-f523-4ae4-ab74-ffc5ea35b486"/>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1</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有权对乙方的服务质量、人员资质、药剂使用情况进行监督检查，并提出整改意见。</w:t>
      </w:r>
      <w:bookmarkEnd w:id="16"/>
    </w:p>
    <w:p w14:paraId="15469E70">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17" w:name="1dae35cd-c9d1-4580-8608-c9680f953bb9"/>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2</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按合同约定按时向乙方支付服务费用。</w:t>
      </w:r>
      <w:bookmarkEnd w:id="17"/>
    </w:p>
    <w:p w14:paraId="42EB8328">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18" w:name="3ab9b37f-c931-46ea-a000-07dfd781ed22"/>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3</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为乙方提供服务所需的便利条件（如水电接入、场地出入许可等）</w:t>
      </w:r>
      <w:r>
        <w:rPr>
          <w:rFonts w:hint="eastAsia" w:ascii="方正仿宋_GBK" w:hAnsi="方正仿宋_GBK" w:eastAsia="方正仿宋_GBK" w:cs="方正仿宋_GBK"/>
          <w:b w:val="0"/>
          <w:i w:val="0"/>
          <w:sz w:val="32"/>
          <w:szCs w:val="32"/>
          <w:lang w:eastAsia="zh-CN"/>
        </w:rPr>
        <w:t>并协调作业现场其他部门，以确保乙方作业顺利进行</w:t>
      </w:r>
      <w:r>
        <w:rPr>
          <w:rFonts w:hint="eastAsia" w:ascii="方正仿宋_GBK" w:hAnsi="方正仿宋_GBK" w:eastAsia="方正仿宋_GBK" w:cs="方正仿宋_GBK"/>
          <w:b w:val="0"/>
          <w:i w:val="0"/>
          <w:sz w:val="32"/>
          <w:szCs w:val="32"/>
        </w:rPr>
        <w:t>，并提前告知乙方服务区域内的特殊情况（如重要会议、敏感区域等）。</w:t>
      </w:r>
      <w:bookmarkEnd w:id="18"/>
    </w:p>
    <w:p w14:paraId="55E0830E">
      <w:pPr>
        <w:pStyle w:val="3"/>
        <w:keepNext w:val="0"/>
        <w:keepLines w:val="0"/>
        <w:pageBreakBefore w:val="0"/>
        <w:widowControl/>
        <w:numPr>
          <w:ilvl w:val="0"/>
          <w:numId w:val="7"/>
        </w:numPr>
        <w:tabs>
          <w:tab w:val="left" w:pos="641"/>
        </w:tabs>
        <w:kinsoku/>
        <w:wordWrap/>
        <w:overflowPunct/>
        <w:topLinePunct w:val="0"/>
        <w:autoSpaceDE/>
        <w:autoSpaceDN/>
        <w:bidi w:val="0"/>
        <w:adjustRightInd w:val="0"/>
        <w:snapToGrid w:val="0"/>
        <w:spacing w:line="590" w:lineRule="exact"/>
        <w:ind w:left="17" w:leftChars="8" w:firstLine="623"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乙方权利与义务：</w:t>
      </w:r>
    </w:p>
    <w:p w14:paraId="5642DCD6">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19" w:name="7532023c-f7ae-4a1f-8d66-10375517ff5b"/>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1</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有权按合同约定收取服务费用。</w:t>
      </w:r>
      <w:bookmarkEnd w:id="19"/>
    </w:p>
    <w:p w14:paraId="011EB610">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20" w:name="8c6a1106-6f2a-4005-ab9d-50505223e44e"/>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2</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严格按照合同约定的频次、标准提供服务，确保甲方区域内的四害密度控制在国家规定的标准范围内。</w:t>
      </w:r>
      <w:bookmarkEnd w:id="20"/>
    </w:p>
    <w:p w14:paraId="73DE689B">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21" w:name="373a16fb-f3f1-4c64-a20e-094e218128c3"/>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3</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每次服务结束后，需规范填写《病媒生物消杀记录单》并交由甲方指定人员签字确认，妥善保管原件作为半年度结算凭证。</w:t>
      </w:r>
      <w:bookmarkEnd w:id="21"/>
      <w:bookmarkStart w:id="31" w:name="_GoBack"/>
      <w:bookmarkEnd w:id="31"/>
    </w:p>
    <w:p w14:paraId="073274FD">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17" w:leftChars="8" w:right="0" w:rightChars="0" w:firstLine="620" w:firstLineChars="194"/>
        <w:textAlignment w:val="auto"/>
        <w:rPr>
          <w:rFonts w:hint="eastAsia" w:ascii="方正仿宋_GBK" w:hAnsi="方正仿宋_GBK" w:eastAsia="方正仿宋_GBK" w:cs="方正仿宋_GBK"/>
          <w:sz w:val="32"/>
          <w:szCs w:val="32"/>
        </w:rPr>
      </w:pPr>
      <w:bookmarkStart w:id="22" w:name="48834911-836e-41a1-92c8-5eda0f38455c"/>
      <w:r>
        <w:rPr>
          <w:rFonts w:hint="eastAsia" w:ascii="方正仿宋_GBK" w:hAnsi="方正仿宋_GBK" w:eastAsia="方正仿宋_GBK" w:cs="方正仿宋_GBK"/>
          <w:b w:val="0"/>
          <w:i w:val="0"/>
          <w:sz w:val="32"/>
          <w:szCs w:val="32"/>
          <w:lang w:eastAsia="zh-CN"/>
        </w:rPr>
        <w:t>（</w:t>
      </w:r>
      <w:r>
        <w:rPr>
          <w:rFonts w:hint="eastAsia" w:ascii="Times New Roman" w:hAnsi="Times New Roman" w:eastAsia="方正仿宋_GBK" w:cs="方正仿宋_GBK"/>
          <w:b w:val="0"/>
          <w:i w:val="0"/>
          <w:sz w:val="32"/>
          <w:szCs w:val="32"/>
          <w:lang w:val="en-US" w:eastAsia="zh-CN"/>
        </w:rPr>
        <w:t>4</w:t>
      </w:r>
      <w:r>
        <w:rPr>
          <w:rFonts w:hint="eastAsia" w:ascii="方正仿宋_GBK" w:hAnsi="方正仿宋_GBK" w:eastAsia="方正仿宋_GBK" w:cs="方正仿宋_GBK"/>
          <w:b w:val="0"/>
          <w:i w:val="0"/>
          <w:sz w:val="32"/>
          <w:szCs w:val="32"/>
          <w:lang w:eastAsia="zh-CN"/>
        </w:rPr>
        <w:t>）</w:t>
      </w:r>
      <w:r>
        <w:rPr>
          <w:rFonts w:hint="eastAsia" w:ascii="方正仿宋_GBK" w:hAnsi="方正仿宋_GBK" w:eastAsia="方正仿宋_GBK" w:cs="方正仿宋_GBK"/>
          <w:b w:val="0"/>
          <w:i w:val="0"/>
          <w:sz w:val="32"/>
          <w:szCs w:val="32"/>
        </w:rPr>
        <w:t>对在服务过程中知悉的甲方商业秘密及内部信息负有严格保密义务。</w:t>
      </w:r>
      <w:bookmarkEnd w:id="22"/>
    </w:p>
    <w:p w14:paraId="1959793D">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23" w:name="ca704f11bdb3469abc9b1ba70837023d"/>
      <w:r>
        <w:rPr>
          <w:rFonts w:hint="eastAsia" w:ascii="方正黑体_GBK" w:hAnsi="方正黑体_GBK" w:eastAsia="方正黑体_GBK" w:cs="方正黑体_GBK"/>
          <w:b w:val="0"/>
          <w:bCs w:val="0"/>
          <w:sz w:val="32"/>
          <w:szCs w:val="32"/>
        </w:rPr>
        <w:t>违约责任</w:t>
      </w:r>
      <w:bookmarkEnd w:id="23"/>
    </w:p>
    <w:p w14:paraId="3014CBD1">
      <w:pPr>
        <w:pStyle w:val="11"/>
        <w:keepNext w:val="0"/>
        <w:keepLines w:val="0"/>
        <w:pageBreakBefore w:val="0"/>
        <w:widowControl/>
        <w:numPr>
          <w:ilvl w:val="0"/>
          <w:numId w:val="8"/>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乙方未按约定频次或标准提供服务的，甲方有权要求乙方限期免费整改；逾期未整改或整改后仍不达标的，甲方有权扣减当期服务费的</w:t>
      </w:r>
      <w:r>
        <w:rPr>
          <w:rFonts w:hint="eastAsia" w:ascii="Times New Roman" w:hAnsi="Times New Roman" w:eastAsia="方正仿宋_GBK" w:cs="方正仿宋_GBK"/>
          <w:b w:val="0"/>
          <w:i w:val="0"/>
          <w:sz w:val="32"/>
          <w:szCs w:val="32"/>
          <w:lang w:val="en-US" w:eastAsia="zh-CN"/>
        </w:rPr>
        <w:t>10</w:t>
      </w:r>
      <w:r>
        <w:rPr>
          <w:rFonts w:hint="eastAsia" w:ascii="方正仿宋_GBK" w:hAnsi="方正仿宋_GBK" w:eastAsia="方正仿宋_GBK" w:cs="方正仿宋_GBK"/>
          <w:b w:val="0"/>
          <w:i w:val="0"/>
          <w:sz w:val="32"/>
          <w:szCs w:val="32"/>
        </w:rPr>
        <w:t>%作为违约金。</w:t>
      </w:r>
    </w:p>
    <w:p w14:paraId="0664FA72">
      <w:pPr>
        <w:pStyle w:val="11"/>
        <w:keepNext w:val="0"/>
        <w:keepLines w:val="0"/>
        <w:pageBreakBefore w:val="0"/>
        <w:widowControl/>
        <w:numPr>
          <w:ilvl w:val="0"/>
          <w:numId w:val="8"/>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乙方伪造《病媒生物消杀记录单》、擅自更换项目负责人或核心服务人员，或使用违禁药剂的，甲方有权单方解除合同，乙方应退还已收取的未发生服务对应费用，并向甲方支付合同总价</w:t>
      </w:r>
      <w:r>
        <w:rPr>
          <w:rFonts w:hint="eastAsia" w:ascii="Times New Roman" w:hAnsi="Times New Roman" w:eastAsia="方正仿宋_GBK" w:cs="方正仿宋_GBK"/>
          <w:b w:val="0"/>
          <w:i w:val="0"/>
          <w:sz w:val="32"/>
          <w:szCs w:val="32"/>
          <w:lang w:val="en-US" w:eastAsia="zh-CN"/>
        </w:rPr>
        <w:t>10</w:t>
      </w:r>
      <w:r>
        <w:rPr>
          <w:rFonts w:hint="eastAsia" w:ascii="方正仿宋_GBK" w:hAnsi="方正仿宋_GBK" w:eastAsia="方正仿宋_GBK" w:cs="方正仿宋_GBK"/>
          <w:b w:val="0"/>
          <w:i w:val="0"/>
          <w:sz w:val="32"/>
          <w:szCs w:val="32"/>
        </w:rPr>
        <w:t>%的违约金。</w:t>
      </w:r>
    </w:p>
    <w:p w14:paraId="6BD8BB14">
      <w:pPr>
        <w:pStyle w:val="11"/>
        <w:keepNext w:val="0"/>
        <w:keepLines w:val="0"/>
        <w:pageBreakBefore w:val="0"/>
        <w:widowControl/>
        <w:numPr>
          <w:ilvl w:val="0"/>
          <w:numId w:val="8"/>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甲方</w:t>
      </w:r>
      <w:r>
        <w:rPr>
          <w:rFonts w:hint="eastAsia" w:ascii="方正仿宋_GBK" w:hAnsi="方正仿宋_GBK" w:eastAsia="方正仿宋_GBK" w:cs="方正仿宋_GBK"/>
          <w:b w:val="0"/>
          <w:i w:val="0"/>
          <w:sz w:val="32"/>
          <w:szCs w:val="32"/>
          <w:lang w:eastAsia="zh-CN"/>
        </w:rPr>
        <w:t>在卫生检查中，如合同执行一个月后因虫害控制不合格而使甲方受到卫生检查部门处罚的，由乙方承担全部责任</w:t>
      </w:r>
      <w:r>
        <w:rPr>
          <w:rFonts w:hint="eastAsia" w:ascii="方正仿宋_GBK" w:hAnsi="方正仿宋_GBK" w:eastAsia="方正仿宋_GBK" w:cs="方正仿宋_GBK"/>
          <w:b w:val="0"/>
          <w:i w:val="0"/>
          <w:sz w:val="32"/>
          <w:szCs w:val="32"/>
        </w:rPr>
        <w:t>。</w:t>
      </w:r>
    </w:p>
    <w:p w14:paraId="36BAC882">
      <w:pPr>
        <w:pStyle w:val="11"/>
        <w:keepNext w:val="0"/>
        <w:keepLines w:val="0"/>
        <w:pageBreakBefore w:val="0"/>
        <w:widowControl/>
        <w:numPr>
          <w:ilvl w:val="0"/>
          <w:numId w:val="8"/>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lang w:eastAsia="zh-CN"/>
        </w:rPr>
        <w:t>在维保涉及区域内如因相关虫害而遭到客人投诉，甲乙双方视情况协商处理。</w:t>
      </w:r>
    </w:p>
    <w:p w14:paraId="57C5668F">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24" w:name="f5b16806957c4324b00bdd891d568349"/>
      <w:r>
        <w:rPr>
          <w:rFonts w:hint="eastAsia" w:ascii="方正黑体_GBK" w:hAnsi="方正黑体_GBK" w:eastAsia="方正黑体_GBK" w:cs="方正黑体_GBK"/>
          <w:b w:val="0"/>
          <w:bCs w:val="0"/>
          <w:sz w:val="32"/>
          <w:szCs w:val="32"/>
        </w:rPr>
        <w:t>争议解决</w:t>
      </w:r>
      <w:bookmarkEnd w:id="24"/>
    </w:p>
    <w:p w14:paraId="25E822A7">
      <w:pPr>
        <w:pStyle w:val="11"/>
        <w:keepNext w:val="0"/>
        <w:keepLines w:val="0"/>
        <w:pageBreakBefore w:val="0"/>
        <w:widowControl/>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仿宋_GBK" w:hAnsi="方正仿宋_GBK" w:eastAsia="方正仿宋_GBK" w:cs="方正仿宋_GBK"/>
          <w:sz w:val="32"/>
          <w:szCs w:val="32"/>
        </w:rPr>
      </w:pPr>
      <w:bookmarkStart w:id="25" w:name="f1b2fa16a06d4ff2ba75ed67949e3f34"/>
      <w:r>
        <w:rPr>
          <w:rFonts w:hint="eastAsia" w:ascii="方正仿宋_GBK" w:hAnsi="方正仿宋_GBK" w:eastAsia="方正仿宋_GBK" w:cs="方正仿宋_GBK"/>
          <w:b w:val="0"/>
          <w:i w:val="0"/>
          <w:sz w:val="32"/>
          <w:szCs w:val="32"/>
        </w:rPr>
        <w:t>本合同在履行过程中发生的争议，由双方协商解决；协商不成的，任何一方均有权向甲方所在地人民法院提起诉讼。</w:t>
      </w:r>
      <w:bookmarkEnd w:id="25"/>
    </w:p>
    <w:p w14:paraId="26D41B5D">
      <w:pPr>
        <w:pStyle w:val="2"/>
        <w:keepNext w:val="0"/>
        <w:keepLines w:val="0"/>
        <w:pageBreakBefore w:val="0"/>
        <w:widowControl/>
        <w:numPr>
          <w:ilvl w:val="0"/>
          <w:numId w:val="1"/>
        </w:numPr>
        <w:tabs>
          <w:tab w:val="left" w:pos="1564"/>
          <w:tab w:val="clear" w:pos="210"/>
        </w:tabs>
        <w:kinsoku/>
        <w:wordWrap/>
        <w:overflowPunct/>
        <w:topLinePunct w:val="0"/>
        <w:autoSpaceDE/>
        <w:autoSpaceDN/>
        <w:bidi w:val="0"/>
        <w:adjustRightInd w:val="0"/>
        <w:snapToGrid w:val="0"/>
        <w:spacing w:line="590" w:lineRule="exact"/>
        <w:ind w:left="17" w:leftChars="8" w:firstLine="620" w:firstLineChars="194"/>
        <w:textAlignment w:val="auto"/>
        <w:rPr>
          <w:rFonts w:hint="eastAsia" w:ascii="方正黑体_GBK" w:hAnsi="方正黑体_GBK" w:eastAsia="方正黑体_GBK" w:cs="方正黑体_GBK"/>
          <w:b w:val="0"/>
          <w:bCs w:val="0"/>
          <w:sz w:val="32"/>
          <w:szCs w:val="32"/>
        </w:rPr>
      </w:pPr>
      <w:bookmarkStart w:id="26" w:name="46c84860871a4f2696deb12ff17533e9"/>
      <w:r>
        <w:rPr>
          <w:rFonts w:hint="eastAsia" w:ascii="方正黑体_GBK" w:hAnsi="方正黑体_GBK" w:eastAsia="方正黑体_GBK" w:cs="方正黑体_GBK"/>
          <w:b w:val="0"/>
          <w:bCs w:val="0"/>
          <w:sz w:val="32"/>
          <w:szCs w:val="32"/>
        </w:rPr>
        <w:t>附则</w:t>
      </w:r>
      <w:bookmarkEnd w:id="26"/>
    </w:p>
    <w:p w14:paraId="6F1C86DE">
      <w:pPr>
        <w:pStyle w:val="11"/>
        <w:keepNext w:val="0"/>
        <w:keepLines w:val="0"/>
        <w:pageBreakBefore w:val="0"/>
        <w:widowControl/>
        <w:numPr>
          <w:ilvl w:val="0"/>
          <w:numId w:val="9"/>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招标文件、乙方的投标文件、中标通知书均为本合同不可分割的组成部分，与本合同具有同等法律效力。如内容存在冲突，以本合同为准。</w:t>
      </w:r>
    </w:p>
    <w:p w14:paraId="39A3CBC7">
      <w:pPr>
        <w:pStyle w:val="11"/>
        <w:keepNext w:val="0"/>
        <w:keepLines w:val="0"/>
        <w:pageBreakBefore w:val="0"/>
        <w:widowControl/>
        <w:numPr>
          <w:ilvl w:val="0"/>
          <w:numId w:val="9"/>
        </w:numPr>
        <w:tabs>
          <w:tab w:val="left" w:pos="482"/>
        </w:tabs>
        <w:kinsoku/>
        <w:wordWrap/>
        <w:overflowPunct/>
        <w:topLinePunct w:val="0"/>
        <w:autoSpaceDE/>
        <w:autoSpaceDN/>
        <w:bidi w:val="0"/>
        <w:adjustRightInd w:val="0"/>
        <w:snapToGrid w:val="0"/>
        <w:spacing w:line="590" w:lineRule="exact"/>
        <w:ind w:left="17" w:leftChars="8" w:right="0" w:firstLine="620" w:firstLineChars="194"/>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i w:val="0"/>
          <w:sz w:val="32"/>
          <w:szCs w:val="32"/>
        </w:rPr>
        <w:t>本合同一式____份，甲方执____份，乙方执____份，自双方法定代表人或授权代表签字并加盖公章之日起生效。</w:t>
      </w:r>
    </w:p>
    <w:p w14:paraId="23231F8E">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482" w:leftChars="0" w:right="0" w:rightChars="0"/>
        <w:textAlignment w:val="auto"/>
        <w:rPr>
          <w:rFonts w:hint="eastAsia" w:ascii="方正仿宋_GBK" w:hAnsi="方正仿宋_GBK" w:eastAsia="方正仿宋_GBK" w:cs="方正仿宋_GBK"/>
          <w:b w:val="0"/>
          <w:i w:val="0"/>
          <w:sz w:val="32"/>
          <w:szCs w:val="32"/>
        </w:rPr>
      </w:pPr>
    </w:p>
    <w:p w14:paraId="30AB262E">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482" w:leftChars="0" w:right="0" w:rightChars="0"/>
        <w:textAlignment w:val="auto"/>
        <w:rPr>
          <w:rFonts w:hint="eastAsia" w:ascii="方正仿宋_GBK" w:hAnsi="方正仿宋_GBK" w:eastAsia="方正仿宋_GBK" w:cs="方正仿宋_GBK"/>
          <w:b w:val="0"/>
          <w:i w:val="0"/>
          <w:sz w:val="32"/>
          <w:szCs w:val="32"/>
        </w:rPr>
      </w:pPr>
    </w:p>
    <w:p w14:paraId="23753ACE">
      <w:pPr>
        <w:pStyle w:val="11"/>
        <w:keepNext w:val="0"/>
        <w:keepLines w:val="0"/>
        <w:pageBreakBefore w:val="0"/>
        <w:widowControl/>
        <w:numPr>
          <w:ilvl w:val="0"/>
          <w:numId w:val="0"/>
        </w:numPr>
        <w:tabs>
          <w:tab w:val="left" w:pos="482"/>
        </w:tabs>
        <w:kinsoku/>
        <w:wordWrap/>
        <w:overflowPunct/>
        <w:topLinePunct w:val="0"/>
        <w:autoSpaceDE/>
        <w:autoSpaceDN/>
        <w:bidi w:val="0"/>
        <w:adjustRightInd w:val="0"/>
        <w:snapToGrid w:val="0"/>
        <w:spacing w:line="590" w:lineRule="exact"/>
        <w:ind w:left="482" w:leftChars="0" w:right="0" w:rightChars="0"/>
        <w:textAlignment w:val="auto"/>
        <w:rPr>
          <w:rFonts w:hint="eastAsia" w:ascii="方正仿宋_GBK" w:hAnsi="方正仿宋_GBK" w:eastAsia="方正仿宋_GBK" w:cs="方正仿宋_GBK"/>
          <w:b w:val="0"/>
          <w:i w:val="0"/>
          <w:sz w:val="32"/>
          <w:szCs w:val="32"/>
        </w:rPr>
      </w:pPr>
    </w:p>
    <w:p w14:paraId="31526611">
      <w:pPr>
        <w:pStyle w:val="11"/>
        <w:keepNext w:val="0"/>
        <w:keepLines w:val="0"/>
        <w:pageBreakBefore w:val="0"/>
        <w:widowControl/>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方正仿宋_GBK" w:hAnsi="方正仿宋_GBK" w:eastAsia="方正仿宋_GBK" w:cs="方正仿宋_GBK"/>
          <w:sz w:val="32"/>
          <w:szCs w:val="32"/>
        </w:rPr>
      </w:pPr>
      <w:bookmarkStart w:id="27" w:name="0ccd6ec1163c4509bb410d49d1553c60"/>
      <w:r>
        <w:rPr>
          <w:rFonts w:hint="eastAsia" w:ascii="方正仿宋_GBK" w:hAnsi="方正仿宋_GBK" w:eastAsia="方正仿宋_GBK" w:cs="方正仿宋_GBK"/>
          <w:b w:val="0"/>
          <w:i w:val="0"/>
          <w:sz w:val="32"/>
          <w:szCs w:val="32"/>
        </w:rPr>
        <w:t>（以下无正文）</w:t>
      </w:r>
      <w:bookmarkEnd w:id="27"/>
    </w:p>
    <w:p w14:paraId="75011D73">
      <w:pPr>
        <w:pStyle w:val="20"/>
        <w:keepNext w:val="0"/>
        <w:keepLines w:val="0"/>
        <w:pageBreakBefore w:val="0"/>
        <w:widowControl/>
        <w:kinsoku/>
        <w:wordWrap/>
        <w:overflowPunct/>
        <w:topLinePunct w:val="0"/>
        <w:autoSpaceDE/>
        <w:autoSpaceDN/>
        <w:bidi w:val="0"/>
        <w:adjustRightInd w:val="0"/>
        <w:snapToGrid w:val="0"/>
        <w:spacing w:before="0" w:after="120" w:afterAutospacing="0" w:line="590" w:lineRule="exact"/>
        <w:ind w:right="0"/>
        <w:jc w:val="left"/>
        <w:textAlignment w:val="auto"/>
        <w:rPr>
          <w:rFonts w:hint="eastAsia" w:ascii="方正仿宋_GBK" w:hAnsi="方正仿宋_GBK" w:eastAsia="方正仿宋_GBK" w:cs="方正仿宋_GBK"/>
          <w:sz w:val="32"/>
          <w:szCs w:val="32"/>
        </w:rPr>
      </w:pPr>
      <w:bookmarkStart w:id="28" w:name="a07326e484e64ac4831f8b404dad1fa3"/>
      <w:r>
        <w:rPr>
          <w:rFonts w:hint="eastAsia" w:ascii="方正仿宋_GBK" w:hAnsi="方正仿宋_GBK" w:eastAsia="方正仿宋_GBK" w:cs="方正仿宋_GBK"/>
          <w:b w:val="0"/>
          <w:i w:val="0"/>
          <w:spacing w:val="0"/>
          <w:sz w:val="32"/>
          <w:szCs w:val="32"/>
        </w:rPr>
        <w:t xml:space="preserve">甲方（盖章）：               </w:t>
      </w:r>
      <w:r>
        <w:rPr>
          <w:rFonts w:hint="eastAsia" w:ascii="方正仿宋_GBK" w:hAnsi="方正仿宋_GBK" w:eastAsia="方正仿宋_GBK" w:cs="方正仿宋_GBK"/>
          <w:b w:val="0"/>
          <w:i w:val="0"/>
          <w:spacing w:val="0"/>
          <w:sz w:val="32"/>
          <w:szCs w:val="32"/>
          <w:lang w:val="en-US" w:eastAsia="zh-CN"/>
        </w:rPr>
        <w:t xml:space="preserve">    </w:t>
      </w:r>
      <w:r>
        <w:rPr>
          <w:rFonts w:hint="eastAsia" w:ascii="方正仿宋_GBK" w:hAnsi="方正仿宋_GBK" w:eastAsia="方正仿宋_GBK" w:cs="方正仿宋_GBK"/>
          <w:b w:val="0"/>
          <w:i w:val="0"/>
          <w:spacing w:val="0"/>
          <w:sz w:val="32"/>
          <w:szCs w:val="32"/>
        </w:rPr>
        <w:t>乙方（盖章）：</w:t>
      </w:r>
      <w:bookmarkEnd w:id="28"/>
    </w:p>
    <w:p w14:paraId="3D5AAC1D">
      <w:pPr>
        <w:pStyle w:val="18"/>
        <w:keepNext w:val="0"/>
        <w:keepLines w:val="0"/>
        <w:pageBreakBefore w:val="0"/>
        <w:widowControl/>
        <w:kinsoku/>
        <w:wordWrap/>
        <w:overflowPunct/>
        <w:topLinePunct w:val="0"/>
        <w:autoSpaceDE/>
        <w:autoSpaceDN/>
        <w:bidi w:val="0"/>
        <w:adjustRightInd w:val="0"/>
        <w:snapToGrid w:val="0"/>
        <w:spacing w:before="0" w:after="120" w:afterAutospacing="0" w:line="590" w:lineRule="exact"/>
        <w:ind w:left="0" w:leftChars="0" w:right="0" w:firstLine="0" w:firstLineChars="0"/>
        <w:jc w:val="both"/>
        <w:textAlignment w:val="auto"/>
        <w:rPr>
          <w:rFonts w:hint="eastAsia" w:ascii="方正仿宋_GBK" w:hAnsi="方正仿宋_GBK" w:eastAsia="方正仿宋_GBK" w:cs="方正仿宋_GBK"/>
          <w:sz w:val="32"/>
          <w:szCs w:val="32"/>
        </w:rPr>
      </w:pPr>
      <w:bookmarkStart w:id="29" w:name="af586a705bff47f8851c2b86d2282bb4"/>
      <w:r>
        <w:rPr>
          <w:rFonts w:hint="eastAsia" w:ascii="方正仿宋_GBK" w:hAnsi="方正仿宋_GBK" w:eastAsia="方正仿宋_GBK" w:cs="方正仿宋_GBK"/>
          <w:b w:val="0"/>
          <w:i w:val="0"/>
          <w:spacing w:val="0"/>
          <w:sz w:val="32"/>
          <w:szCs w:val="32"/>
        </w:rPr>
        <w:t xml:space="preserve">授权代表（签字）：    </w:t>
      </w:r>
      <w:r>
        <w:rPr>
          <w:rFonts w:hint="eastAsia" w:ascii="方正仿宋_GBK" w:hAnsi="方正仿宋_GBK" w:eastAsia="方正仿宋_GBK" w:cs="方正仿宋_GBK"/>
          <w:b w:val="0"/>
          <w:i w:val="0"/>
          <w:spacing w:val="0"/>
          <w:sz w:val="32"/>
          <w:szCs w:val="32"/>
          <w:lang w:val="en-US" w:eastAsia="zh-CN"/>
        </w:rPr>
        <w:t xml:space="preserve">          </w:t>
      </w:r>
      <w:r>
        <w:rPr>
          <w:rFonts w:hint="eastAsia" w:ascii="方正仿宋_GBK" w:hAnsi="方正仿宋_GBK" w:eastAsia="方正仿宋_GBK" w:cs="方正仿宋_GBK"/>
          <w:b w:val="0"/>
          <w:i w:val="0"/>
          <w:spacing w:val="0"/>
          <w:sz w:val="32"/>
          <w:szCs w:val="32"/>
        </w:rPr>
        <w:t>授权代表（签字）：</w:t>
      </w:r>
      <w:bookmarkEnd w:id="29"/>
    </w:p>
    <w:p w14:paraId="63FFDACE">
      <w:pPr>
        <w:pStyle w:val="21"/>
        <w:keepNext w:val="0"/>
        <w:keepLines w:val="0"/>
        <w:pageBreakBefore w:val="0"/>
        <w:widowControl/>
        <w:kinsoku/>
        <w:wordWrap/>
        <w:overflowPunct/>
        <w:topLinePunct w:val="0"/>
        <w:autoSpaceDE/>
        <w:autoSpaceDN/>
        <w:bidi w:val="0"/>
        <w:adjustRightInd w:val="0"/>
        <w:snapToGrid w:val="0"/>
        <w:spacing w:before="0" w:after="120" w:afterAutospacing="0" w:line="590" w:lineRule="exact"/>
        <w:ind w:right="0"/>
        <w:jc w:val="left"/>
        <w:textAlignment w:val="auto"/>
        <w:rPr>
          <w:rFonts w:hint="eastAsia" w:ascii="方正仿宋_GBK" w:hAnsi="方正仿宋_GBK" w:eastAsia="方正仿宋_GBK" w:cs="方正仿宋_GBK"/>
          <w:sz w:val="32"/>
          <w:szCs w:val="32"/>
        </w:rPr>
      </w:pPr>
      <w:bookmarkStart w:id="30" w:name="9205eb7e28fd4abda12fe5fa95ae8e7d"/>
      <w:r>
        <w:rPr>
          <w:rFonts w:hint="eastAsia" w:ascii="方正仿宋_GBK" w:hAnsi="方正仿宋_GBK" w:eastAsia="方正仿宋_GBK" w:cs="方正仿宋_GBK"/>
          <w:b w:val="0"/>
          <w:i w:val="0"/>
          <w:spacing w:val="0"/>
          <w:sz w:val="32"/>
          <w:szCs w:val="32"/>
        </w:rPr>
        <w:t xml:space="preserve">日期：____年__月__日       </w:t>
      </w:r>
      <w:r>
        <w:rPr>
          <w:rFonts w:hint="eastAsia" w:ascii="方正仿宋_GBK" w:hAnsi="方正仿宋_GBK" w:eastAsia="方正仿宋_GBK" w:cs="方正仿宋_GBK"/>
          <w:b w:val="0"/>
          <w:i w:val="0"/>
          <w:spacing w:val="0"/>
          <w:sz w:val="32"/>
          <w:szCs w:val="32"/>
          <w:lang w:val="en-US" w:eastAsia="zh-CN"/>
        </w:rPr>
        <w:t xml:space="preserve">  </w:t>
      </w:r>
      <w:r>
        <w:rPr>
          <w:rFonts w:hint="eastAsia" w:ascii="方正仿宋_GBK" w:hAnsi="方正仿宋_GBK" w:eastAsia="方正仿宋_GBK" w:cs="方正仿宋_GBK"/>
          <w:b w:val="0"/>
          <w:i w:val="0"/>
          <w:spacing w:val="0"/>
          <w:sz w:val="32"/>
          <w:szCs w:val="32"/>
        </w:rPr>
        <w:t>日期：____年__月__日</w:t>
      </w:r>
      <w:bookmarkEnd w:id="30"/>
    </w:p>
    <w:sectPr>
      <w:type w:val="continuous"/>
      <w:pgSz w:w="11900" w:h="16820"/>
      <w:pgMar w:top="1701" w:right="1587" w:bottom="1587" w:left="1587" w:header="840" w:footer="981" w:gutter="0"/>
      <w:pgNumType w:fmt="numberInDash"/>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1" w:fontKey="{93B29821-6A26-482A-ADD2-64ACE0D9075D}"/>
  </w:font>
  <w:font w:name="方正仿宋_GBK">
    <w:panose1 w:val="03000509000000000000"/>
    <w:charset w:val="86"/>
    <w:family w:val="auto"/>
    <w:pitch w:val="default"/>
    <w:sig w:usb0="00000001" w:usb1="080E0000" w:usb2="00000000" w:usb3="00000000" w:csb0="00040000" w:csb1="00000000"/>
    <w:embedRegular r:id="rId2" w:fontKey="{A49E3E59-3590-4ED8-99A8-A51079AC5299}"/>
  </w:font>
  <w:font w:name="方正黑体_GBK">
    <w:panose1 w:val="03000509000000000000"/>
    <w:charset w:val="86"/>
    <w:family w:val="auto"/>
    <w:pitch w:val="default"/>
    <w:sig w:usb0="00000001" w:usb1="080E0000" w:usb2="00000000" w:usb3="00000000" w:csb0="00040000" w:csb1="00000000"/>
    <w:embedRegular r:id="rId3" w:fontKey="{544B8201-F1A8-4D8C-88E8-5B67DB146E4D}"/>
  </w:font>
  <w:font w:nam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Ti">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C7A8F">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D1639">
                          <w:pPr>
                            <w:pStyle w:val="12"/>
                            <w:rPr>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4D1639">
                    <w:pPr>
                      <w:pStyle w:val="12"/>
                      <w:rPr>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3D3D5"/>
    <w:multiLevelType w:val="singleLevel"/>
    <w:tmpl w:val="8363D3D5"/>
    <w:lvl w:ilvl="0" w:tentative="0">
      <w:start w:val="1"/>
      <w:numFmt w:val="decimal"/>
      <w:suff w:val="nothing"/>
      <w:lvlText w:val="（%1）"/>
      <w:lvlJc w:val="left"/>
      <w:rPr>
        <w:rFonts w:hint="default" w:ascii="Times New Roman" w:hAnsi="Times New Roman" w:cs="Times New Roman"/>
      </w:rPr>
    </w:lvl>
  </w:abstractNum>
  <w:abstractNum w:abstractNumId="1">
    <w:nsid w:val="94972177"/>
    <w:multiLevelType w:val="singleLevel"/>
    <w:tmpl w:val="94972177"/>
    <w:lvl w:ilvl="0" w:tentative="0">
      <w:start w:val="5"/>
      <w:numFmt w:val="decimal"/>
      <w:lvlText w:val="%1."/>
      <w:lvlJc w:val="left"/>
      <w:pPr>
        <w:tabs>
          <w:tab w:val="left" w:pos="312"/>
        </w:tabs>
      </w:pPr>
      <w:rPr>
        <w:rFonts w:hint="default" w:ascii="Times New Roman" w:hAnsi="Times New Roman" w:cs="Times New Roman"/>
      </w:rPr>
    </w:lvl>
  </w:abstractNum>
  <w:abstractNum w:abstractNumId="2">
    <w:nsid w:val="BF205925"/>
    <w:multiLevelType w:val="multilevel"/>
    <w:tmpl w:val="BF205925"/>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3">
    <w:nsid w:val="C94E95DA"/>
    <w:multiLevelType w:val="singleLevel"/>
    <w:tmpl w:val="C94E95DA"/>
    <w:lvl w:ilvl="0" w:tentative="0">
      <w:start w:val="1"/>
      <w:numFmt w:val="chineseCounting"/>
      <w:lvlText w:val="第%1条"/>
      <w:lvlJc w:val="left"/>
      <w:pPr>
        <w:tabs>
          <w:tab w:val="left" w:pos="210"/>
        </w:tabs>
        <w:ind w:left="0" w:firstLine="0"/>
      </w:pPr>
      <w:rPr>
        <w:rFonts w:hint="eastAsia"/>
      </w:rPr>
    </w:lvl>
  </w:abstractNum>
  <w:abstractNum w:abstractNumId="4">
    <w:nsid w:val="CF092B84"/>
    <w:multiLevelType w:val="multilevel"/>
    <w:tmpl w:val="CF092B84"/>
    <w:lvl w:ilvl="0" w:tentative="0">
      <w:start w:val="1"/>
      <w:numFmt w:val="decimal"/>
      <w:lvlText w:val="%1."/>
      <w:lvlJc w:val="left"/>
      <w:pPr>
        <w:ind w:left="440" w:hanging="440"/>
      </w:pPr>
      <w:rPr>
        <w:rFonts w:hint="default" w:ascii="Times New Roman" w:hAnsi="Times New Roman" w:cs="Times New Roman"/>
      </w:r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5">
    <w:nsid w:val="D4D94FEE"/>
    <w:multiLevelType w:val="multilevel"/>
    <w:tmpl w:val="D4D94FEE"/>
    <w:lvl w:ilvl="0" w:tentative="0">
      <w:start w:val="1"/>
      <w:numFmt w:val="decimal"/>
      <w:suff w:val="nothing"/>
      <w:lvlText w:val="（%1）"/>
      <w:lvlJc w:val="left"/>
      <w:pPr>
        <w:ind w:left="0" w:firstLine="0"/>
      </w:pPr>
      <w:rPr>
        <w:rFonts w:hint="default" w:ascii="Times New Roman" w:hAnsi="Times New Roman" w:cs="Times New Roman"/>
        <w:sz w:val="28"/>
        <w:szCs w:val="28"/>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25B654F3"/>
    <w:multiLevelType w:val="multilevel"/>
    <w:tmpl w:val="25B654F3"/>
    <w:lvl w:ilvl="0" w:tentative="0">
      <w:start w:val="1"/>
      <w:numFmt w:val="decimal"/>
      <w:lvlText w:val="%1."/>
      <w:lvlJc w:val="left"/>
      <w:pPr>
        <w:ind w:left="440" w:hanging="440"/>
      </w:pPr>
      <w:rPr>
        <w:rFonts w:hint="default" w:ascii="Times New Roman" w:hAnsi="Times New Roman" w:cs="Times New Roman"/>
      </w:r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7">
    <w:nsid w:val="59ADCABA"/>
    <w:multiLevelType w:val="multilevel"/>
    <w:tmpl w:val="59ADCABA"/>
    <w:lvl w:ilvl="0" w:tentative="0">
      <w:start w:val="1"/>
      <w:numFmt w:val="decimal"/>
      <w:lvlText w:val="%1."/>
      <w:lvlJc w:val="left"/>
      <w:pPr>
        <w:ind w:left="440" w:hanging="440"/>
      </w:pPr>
      <w:rPr>
        <w:rFonts w:hint="default" w:ascii="Times New Roman" w:hAnsi="Times New Roman" w:cs="Times New Roman"/>
      </w:r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8">
    <w:nsid w:val="72183CF9"/>
    <w:multiLevelType w:val="multilevel"/>
    <w:tmpl w:val="72183CF9"/>
    <w:lvl w:ilvl="0" w:tentative="0">
      <w:start w:val="1"/>
      <w:numFmt w:val="decimal"/>
      <w:lvlText w:val="%1."/>
      <w:lvlJc w:val="left"/>
      <w:pPr>
        <w:ind w:left="440" w:hanging="440"/>
      </w:pPr>
      <w:rPr>
        <w:rFonts w:hint="default" w:ascii="Times New Roman" w:hAnsi="Times New Roman" w:cs="Times New Roman"/>
      </w:r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num w:numId="1">
    <w:abstractNumId w:val="3"/>
  </w:num>
  <w:num w:numId="2">
    <w:abstractNumId w:val="0"/>
  </w:num>
  <w:num w:numId="3">
    <w:abstractNumId w:val="5"/>
  </w:num>
  <w:num w:numId="4">
    <w:abstractNumId w:val="1"/>
  </w:num>
  <w:num w:numId="5">
    <w:abstractNumId w:val="4"/>
  </w:num>
  <w:num w:numId="6">
    <w:abstractNumId w:val="7"/>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000000"/>
    <w:rsid w:val="0F0877BF"/>
    <w:rsid w:val="1BB13D28"/>
    <w:rsid w:val="29093E2C"/>
    <w:rsid w:val="33F378C2"/>
    <w:rsid w:val="375C0B95"/>
    <w:rsid w:val="6D834B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val="0"/>
      <w:keepLines w:val="0"/>
      <w:widowControl w:val="0"/>
      <w:spacing w:before="240" w:beforeLines="0" w:after="120" w:afterLines="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120"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semiHidden/>
    <w:unhideWhenUsed/>
    <w:qFormat/>
    <w:uiPriority w:val="0"/>
    <w:pPr>
      <w:keepNext w:val="0"/>
      <w:keepLines w:val="0"/>
      <w:widowControl w:val="0"/>
      <w:spacing w:beforeAutospacing="0" w:after="120" w:afterAutospacing="0" w:line="300" w:lineRule="auto"/>
      <w:jc w:val="left"/>
      <w:outlineLvl w:val="2"/>
    </w:pPr>
    <w:rPr>
      <w:rFonts w:ascii="Times New Roman" w:hAnsi="Times New Roman" w:eastAsia="宋体" w:cs="Times New Roman"/>
      <w:sz w:val="24"/>
    </w:rPr>
  </w:style>
  <w:style w:type="paragraph" w:styleId="5">
    <w:name w:val="heading 4"/>
    <w:next w:val="1"/>
    <w:semiHidden/>
    <w:unhideWhenUsed/>
    <w:qFormat/>
    <w:uiPriority w:val="0"/>
    <w:pPr>
      <w:keepNext w:val="0"/>
      <w:keepLines w:val="0"/>
      <w:widowControl w:val="0"/>
      <w:spacing w:beforeAutospacing="0" w:after="120" w:afterAutospacing="0" w:line="300" w:lineRule="auto"/>
      <w:outlineLvl w:val="3"/>
    </w:pPr>
    <w:rPr>
      <w:rFonts w:ascii="Times New Roman" w:hAnsi="Times New Roman" w:eastAsia="宋体" w:cs="Times New Roman"/>
      <w:sz w:val="24"/>
    </w:rPr>
  </w:style>
  <w:style w:type="paragraph" w:styleId="6">
    <w:name w:val="heading 5"/>
    <w:next w:val="1"/>
    <w:semiHidden/>
    <w:unhideWhenUsed/>
    <w:qFormat/>
    <w:uiPriority w:val="0"/>
    <w:pPr>
      <w:keepNext w:val="0"/>
      <w:keepLines w:val="0"/>
      <w:spacing w:beforeLines="0" w:beforeAutospacing="0" w:after="120" w:afterLines="0" w:afterAutospacing="0" w:line="300" w:lineRule="auto"/>
      <w:jc w:val="left"/>
      <w:outlineLvl w:val="4"/>
    </w:pPr>
    <w:rPr>
      <w:rFonts w:ascii="Times New Roman" w:hAnsi="Times New Roman" w:eastAsia="宋体" w:cs="Times New Roman"/>
      <w:sz w:val="24"/>
    </w:rPr>
  </w:style>
  <w:style w:type="paragraph" w:styleId="7">
    <w:name w:val="heading 6"/>
    <w:next w:val="1"/>
    <w:semiHidden/>
    <w:unhideWhenUsed/>
    <w:qFormat/>
    <w:uiPriority w:val="0"/>
    <w:pPr>
      <w:keepNext w:val="0"/>
      <w:keepLines w:val="0"/>
      <w:spacing w:beforeLines="0" w:beforeAutospacing="0" w:after="120" w:afterLines="0" w:afterAutospacing="0" w:line="30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0"/>
    <w:pPr>
      <w:keepNext w:val="0"/>
      <w:keepLines w:val="0"/>
      <w:spacing w:beforeLines="0" w:beforeAutospacing="0" w:after="120" w:afterLines="0" w:afterAutospacing="0" w:line="30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spacing w:beforeLines="0" w:beforeAutospacing="0" w:after="120" w:afterLines="0" w:afterAutospacing="0" w:line="30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spacing w:beforeLines="0" w:beforeAutospacing="0" w:after="120" w:afterLines="0" w:afterAutospacing="0" w:line="300" w:lineRule="auto"/>
      <w:jc w:val="left"/>
      <w:outlineLvl w:val="8"/>
    </w:pPr>
    <w:rPr>
      <w:rFonts w:ascii="Times New Roman" w:hAnsi="Times New Roman" w:eastAsia="宋体" w:cs="Times New Roman"/>
      <w:sz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after="120" w:afterAutospacing="0" w:line="300" w:lineRule="auto"/>
      <w:ind w:firstLine="420" w:firstLineChars="200"/>
    </w:pPr>
    <w:rPr>
      <w:rFonts w:ascii="Times New Roman" w:hAnsi="Times New Roman" w:eastAsia="宋体" w:cs="Times New Roman"/>
      <w:sz w:val="24"/>
    </w:rPr>
  </w:style>
  <w:style w:type="paragraph" w:styleId="12">
    <w:name w:val="footer"/>
    <w:basedOn w:val="1"/>
    <w:qFormat/>
    <w:uiPriority w:val="0"/>
    <w:pPr>
      <w:tabs>
        <w:tab w:val="center" w:pos="4153"/>
        <w:tab w:val="right" w:pos="8306"/>
      </w:tabs>
      <w:snapToGrid w:val="0"/>
      <w:jc w:val="left"/>
    </w:pPr>
    <w:rPr>
      <w:sz w:val="18"/>
    </w:rPr>
  </w:style>
  <w:style w:type="paragraph" w:styleId="13">
    <w:name w:val="Subtitle"/>
    <w:qFormat/>
    <w:uiPriority w:val="0"/>
    <w:pPr>
      <w:widowControl w:val="0"/>
      <w:spacing w:before="120" w:beforeLines="0" w:beforeAutospacing="0" w:after="240" w:afterAutospacing="0" w:line="360" w:lineRule="auto"/>
      <w:jc w:val="center"/>
      <w:outlineLvl w:val="9"/>
    </w:pPr>
    <w:rPr>
      <w:rFonts w:ascii="Calibri" w:hAnsi="Calibri" w:eastAsia="宋体" w:cs="Times New Roman"/>
      <w:b/>
      <w:kern w:val="28"/>
      <w:sz w:val="24"/>
    </w:rPr>
  </w:style>
  <w:style w:type="paragraph" w:styleId="14">
    <w:name w:val="Normal (Web)"/>
    <w:basedOn w:val="1"/>
    <w:uiPriority w:val="0"/>
    <w:rPr>
      <w:sz w:val="24"/>
    </w:rPr>
  </w:style>
  <w:style w:type="paragraph" w:styleId="15">
    <w:name w:val="Title"/>
    <w:qFormat/>
    <w:uiPriority w:val="0"/>
    <w:pPr>
      <w:widowControl w:val="0"/>
      <w:spacing w:beforeAutospacing="0" w:afterAutospacing="0" w:line="360" w:lineRule="auto"/>
      <w:jc w:val="center"/>
      <w:outlineLvl w:val="9"/>
    </w:pPr>
    <w:rPr>
      <w:rFonts w:ascii="Times New Roman" w:hAnsi="Times New Roman" w:eastAsia="黑体" w:cs="Times New Roman"/>
      <w:sz w:val="44"/>
    </w:rPr>
  </w:style>
  <w:style w:type="paragraph" w:customStyle="1" w:styleId="18">
    <w:name w:val="正文 文本"/>
    <w:qFormat/>
    <w:uiPriority w:val="1"/>
    <w:pPr>
      <w:spacing w:line="560" w:lineRule="exact"/>
      <w:ind w:left="0" w:right="0" w:firstLine="640"/>
      <w:jc w:val="both"/>
    </w:pPr>
    <w:rPr>
      <w:rFonts w:ascii="宋体" w:eastAsia="宋体" w:hAnsiTheme="minorHAnsi" w:cstheme="minorBidi"/>
      <w:sz w:val="32"/>
      <w:szCs w:val="22"/>
    </w:rPr>
  </w:style>
  <w:style w:type="paragraph" w:customStyle="1" w:styleId="19">
    <w:name w:val="正文一级标题"/>
    <w:qFormat/>
    <w:uiPriority w:val="1"/>
    <w:pPr>
      <w:spacing w:line="560" w:lineRule="exact"/>
      <w:ind w:left="0" w:right="0" w:firstLine="720"/>
      <w:jc w:val="both"/>
    </w:pPr>
    <w:rPr>
      <w:rFonts w:ascii="黑体" w:eastAsia="黑体" w:hAnsiTheme="minorHAnsi" w:cstheme="minorBidi"/>
      <w:b/>
      <w:sz w:val="36"/>
      <w:szCs w:val="22"/>
    </w:rPr>
  </w:style>
  <w:style w:type="paragraph" w:customStyle="1" w:styleId="20">
    <w:name w:val="落款或署名"/>
    <w:qFormat/>
    <w:uiPriority w:val="1"/>
    <w:pPr>
      <w:spacing w:line="560" w:lineRule="exact"/>
      <w:ind w:left="0" w:right="0"/>
      <w:jc w:val="left"/>
    </w:pPr>
    <w:rPr>
      <w:rFonts w:ascii="宋体" w:eastAsia="宋体" w:hAnsiTheme="minorHAnsi" w:cstheme="minorBidi"/>
      <w:sz w:val="32"/>
      <w:szCs w:val="22"/>
    </w:rPr>
  </w:style>
  <w:style w:type="paragraph" w:customStyle="1" w:styleId="21">
    <w:name w:val="日期或时间"/>
    <w:qFormat/>
    <w:uiPriority w:val="1"/>
    <w:pPr>
      <w:spacing w:line="560" w:lineRule="exact"/>
      <w:ind w:left="0" w:right="0"/>
      <w:jc w:val="left"/>
    </w:pPr>
    <w:rPr>
      <w:rFonts w:ascii="宋体" w:eastAsia="宋体" w:hAnsiTheme="minorHAnsi" w:cstheme="minorBidi"/>
      <w:sz w:val="3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1898</Words>
  <Characters>2022</Characters>
  <TotalTime>27</TotalTime>
  <ScaleCrop>false</ScaleCrop>
  <LinksUpToDate>false</LinksUpToDate>
  <CharactersWithSpaces>2093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2026-09-08T07:23:00Z</dcterms:created>
  <dc:creator>Apache POI</dc:creator>
  <cp:lastModifiedBy>過儿 </cp:lastModifiedBy>
  <dcterms:modified xsi:type="dcterms:W3CDTF">2026-09-11T02:56:43Z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wZVzMSL6MNUJkWa2As2quGgnF11GiEnu0tmdCXSf00A=","ProduceID":"doc_sgs:b1f24f4ad25949549ef5934b8b0677e2","ReservedCode2":"wZVzMSL6MNUJkWa2As2quGgnF11GiEnu0tmdCXSf00A=","PropagateID":"doc_sgs:b1f24f4ad25949549ef5934b8b0677e2","ContentProducer":"001191440101MA9Y9T4H7A00000"}</vt:lpwstr>
  </property>
  <property fmtid="{D5CDD505-2E9C-101B-9397-08002B2CF9AE}" pid="3" name="KSOTemplateDocerSaveRecord">
    <vt:lpwstr>eyJoZGlkIjoiZWEwZjFmYTUxODg3ZjgzMGJmNTI5ZDhlMTZhYWI0MTciLCJ1c2VySWQiOiI3MTc1NTU2MTkifQ==</vt:lpwstr>
  </property>
  <property fmtid="{D5CDD505-2E9C-101B-9397-08002B2CF9AE}" pid="4" name="KSOProductBuildVer">
    <vt:lpwstr>2052-12.1.0.28505</vt:lpwstr>
  </property>
  <property fmtid="{D5CDD505-2E9C-101B-9397-08002B2CF9AE}" pid="5" name="ICV">
    <vt:lpwstr>A2292E688940494D892E4308FD213FD5_12</vt:lpwstr>
  </property>
</Properties>
</file>